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9B4D0">
      <w:pPr>
        <w:pStyle w:val="10"/>
        <w:ind w:left="0" w:leftChars="0" w:firstLine="0" w:firstLineChars="0"/>
        <w:jc w:val="center"/>
        <w:rPr>
          <w:color w:val="000000" w:themeColor="text1"/>
          <w:highlight w:val="none"/>
          <w14:textFill>
            <w14:solidFill>
              <w14:schemeClr w14:val="tx1"/>
            </w14:solidFill>
          </w14:textFill>
        </w:rPr>
      </w:pPr>
      <w:r>
        <w:rPr>
          <w:rFonts w:hint="eastAsia" w:ascii="宋体" w:hAnsi="宋体" w:cs="宋体"/>
          <w:b/>
          <w:bCs w:val="0"/>
          <w:color w:val="000000" w:themeColor="text1"/>
          <w:kern w:val="0"/>
          <w:sz w:val="44"/>
          <w:szCs w:val="44"/>
          <w:highlight w:val="none"/>
          <w:lang w:val="en-US" w:eastAsia="zh-CN" w:bidi="ar-SA"/>
          <w14:textFill>
            <w14:solidFill>
              <w14:schemeClr w14:val="tx1"/>
            </w14:solidFill>
          </w14:textFill>
        </w:rPr>
        <w:t>博爱县民政局中心敬老院食材采购项目</w:t>
      </w:r>
    </w:p>
    <w:p w14:paraId="373A45F6">
      <w:pPr>
        <w:rPr>
          <w:color w:val="000000" w:themeColor="text1"/>
          <w:highlight w:val="none"/>
          <w14:textFill>
            <w14:solidFill>
              <w14:schemeClr w14:val="tx1"/>
            </w14:solidFill>
          </w14:textFill>
        </w:rPr>
      </w:pPr>
    </w:p>
    <w:p w14:paraId="3FFE130E">
      <w:pPr>
        <w:rPr>
          <w:color w:val="000000" w:themeColor="text1"/>
          <w:highlight w:val="none"/>
          <w14:textFill>
            <w14:solidFill>
              <w14:schemeClr w14:val="tx1"/>
            </w14:solidFill>
          </w14:textFill>
        </w:rPr>
      </w:pPr>
    </w:p>
    <w:p w14:paraId="47C4DB94">
      <w:pPr>
        <w:rPr>
          <w:color w:val="000000" w:themeColor="text1"/>
          <w:highlight w:val="none"/>
          <w14:textFill>
            <w14:solidFill>
              <w14:schemeClr w14:val="tx1"/>
            </w14:solidFill>
          </w14:textFill>
        </w:rPr>
      </w:pPr>
    </w:p>
    <w:p w14:paraId="43E6037F">
      <w:pPr>
        <w:rPr>
          <w:color w:val="000000" w:themeColor="text1"/>
          <w:highlight w:val="none"/>
          <w14:textFill>
            <w14:solidFill>
              <w14:schemeClr w14:val="tx1"/>
            </w14:solidFill>
          </w14:textFill>
        </w:rPr>
      </w:pPr>
    </w:p>
    <w:p w14:paraId="28B21C30">
      <w:pPr>
        <w:rPr>
          <w:color w:val="000000" w:themeColor="text1"/>
          <w:highlight w:val="none"/>
          <w14:textFill>
            <w14:solidFill>
              <w14:schemeClr w14:val="tx1"/>
            </w14:solidFill>
          </w14:textFill>
        </w:rPr>
      </w:pPr>
    </w:p>
    <w:p w14:paraId="6FC4BB1D">
      <w:pPr>
        <w:rPr>
          <w:color w:val="000000" w:themeColor="text1"/>
          <w:highlight w:val="none"/>
          <w14:textFill>
            <w14:solidFill>
              <w14:schemeClr w14:val="tx1"/>
            </w14:solidFill>
          </w14:textFill>
        </w:rPr>
      </w:pPr>
    </w:p>
    <w:p w14:paraId="585A7EE9">
      <w:pPr>
        <w:rPr>
          <w:color w:val="000000" w:themeColor="text1"/>
          <w:highlight w:val="none"/>
          <w14:textFill>
            <w14:solidFill>
              <w14:schemeClr w14:val="tx1"/>
            </w14:solidFill>
          </w14:textFill>
        </w:rPr>
      </w:pPr>
    </w:p>
    <w:p w14:paraId="519AC343">
      <w:pPr>
        <w:rPr>
          <w:color w:val="000000" w:themeColor="text1"/>
          <w:highlight w:val="none"/>
          <w14:textFill>
            <w14:solidFill>
              <w14:schemeClr w14:val="tx1"/>
            </w14:solidFill>
          </w14:textFill>
        </w:rPr>
      </w:pPr>
    </w:p>
    <w:p w14:paraId="3941B376">
      <w:pPr>
        <w:snapToGrid w:val="0"/>
        <w:spacing w:line="360" w:lineRule="auto"/>
        <w:jc w:val="center"/>
        <w:rPr>
          <w:rFonts w:hint="eastAsia" w:ascii="宋体" w:hAnsi="宋体" w:cs="宋体"/>
          <w:b/>
          <w:color w:val="000000" w:themeColor="text1"/>
          <w:kern w:val="0"/>
          <w:sz w:val="60"/>
          <w:szCs w:val="60"/>
          <w:highlight w:val="none"/>
          <w14:textFill>
            <w14:solidFill>
              <w14:schemeClr w14:val="tx1"/>
            </w14:solidFill>
          </w14:textFill>
        </w:rPr>
      </w:pPr>
      <w:r>
        <w:rPr>
          <w:rFonts w:hint="eastAsia" w:ascii="宋体" w:hAnsi="宋体" w:cs="宋体"/>
          <w:b/>
          <w:color w:val="000000" w:themeColor="text1"/>
          <w:kern w:val="0"/>
          <w:sz w:val="60"/>
          <w:szCs w:val="60"/>
          <w:highlight w:val="none"/>
          <w14:textFill>
            <w14:solidFill>
              <w14:schemeClr w14:val="tx1"/>
            </w14:solidFill>
          </w14:textFill>
        </w:rPr>
        <w:t xml:space="preserve">竞争性谈判文件       </w:t>
      </w:r>
    </w:p>
    <w:p w14:paraId="45DB0E28">
      <w:pPr>
        <w:snapToGrid w:val="0"/>
        <w:spacing w:line="360" w:lineRule="auto"/>
        <w:ind w:firstLine="2422" w:firstLineChars="900"/>
        <w:jc w:val="both"/>
        <w:rPr>
          <w:rFonts w:hint="eastAsia" w:ascii="宋体" w:hAnsi="宋体" w:cs="宋体"/>
          <w:b/>
          <w:color w:val="000000" w:themeColor="text1"/>
          <w:spacing w:val="-6"/>
          <w:sz w:val="28"/>
          <w:szCs w:val="28"/>
          <w:highlight w:val="none"/>
          <w14:textFill>
            <w14:solidFill>
              <w14:schemeClr w14:val="tx1"/>
            </w14:solidFill>
          </w14:textFill>
        </w:rPr>
      </w:pPr>
    </w:p>
    <w:p w14:paraId="221F3753">
      <w:pPr>
        <w:snapToGrid w:val="0"/>
        <w:spacing w:line="360" w:lineRule="auto"/>
        <w:rPr>
          <w:rFonts w:hint="eastAsia" w:ascii="宋体" w:hAnsi="宋体" w:cs="宋体"/>
          <w:b/>
          <w:color w:val="000000" w:themeColor="text1"/>
          <w:spacing w:val="-6"/>
          <w:sz w:val="30"/>
          <w:szCs w:val="30"/>
          <w:highlight w:val="none"/>
          <w14:textFill>
            <w14:solidFill>
              <w14:schemeClr w14:val="tx1"/>
            </w14:solidFill>
          </w14:textFill>
        </w:rPr>
      </w:pPr>
    </w:p>
    <w:p w14:paraId="088BB155">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项目编号：</w:t>
      </w:r>
      <w:r>
        <w:rPr>
          <w:rFonts w:hint="eastAsia" w:ascii="宋体" w:hAnsi="宋体" w:cs="宋体"/>
          <w:b/>
          <w:bCs/>
          <w:color w:val="000000" w:themeColor="text1"/>
          <w:sz w:val="32"/>
          <w:szCs w:val="32"/>
          <w:highlight w:val="none"/>
          <w:lang w:eastAsia="zh-CN"/>
          <w14:textFill>
            <w14:solidFill>
              <w14:schemeClr w14:val="tx1"/>
            </w14:solidFill>
          </w14:textFill>
        </w:rPr>
        <w:t>BAJY2026-02号</w:t>
      </w:r>
    </w:p>
    <w:p w14:paraId="6ACB26B0">
      <w:pPr>
        <w:snapToGrid w:val="0"/>
        <w:spacing w:line="360" w:lineRule="auto"/>
        <w:jc w:val="center"/>
        <w:rPr>
          <w:rFonts w:hint="eastAsia" w:ascii="宋体" w:hAnsi="宋体" w:cs="宋体"/>
          <w:b/>
          <w:color w:val="000000" w:themeColor="text1"/>
          <w:spacing w:val="-6"/>
          <w:sz w:val="30"/>
          <w:szCs w:val="30"/>
          <w:highlight w:val="none"/>
          <w14:textFill>
            <w14:solidFill>
              <w14:schemeClr w14:val="tx1"/>
            </w14:solidFill>
          </w14:textFill>
        </w:rPr>
      </w:pPr>
    </w:p>
    <w:p w14:paraId="368CA613">
      <w:pPr>
        <w:pStyle w:val="26"/>
        <w:ind w:left="0" w:leftChars="0" w:firstLine="0" w:firstLineChars="0"/>
        <w:rPr>
          <w:color w:val="000000" w:themeColor="text1"/>
          <w:highlight w:val="none"/>
          <w14:textFill>
            <w14:solidFill>
              <w14:schemeClr w14:val="tx1"/>
            </w14:solidFill>
          </w14:textFill>
        </w:rPr>
      </w:pPr>
    </w:p>
    <w:p w14:paraId="3B13B8C8">
      <w:pPr>
        <w:pStyle w:val="8"/>
        <w:ind w:left="0" w:leftChars="0" w:firstLine="0" w:firstLineChars="0"/>
        <w:rPr>
          <w:color w:val="000000" w:themeColor="text1"/>
          <w:highlight w:val="none"/>
          <w14:textFill>
            <w14:solidFill>
              <w14:schemeClr w14:val="tx1"/>
            </w14:solidFill>
          </w14:textFill>
        </w:rPr>
      </w:pPr>
    </w:p>
    <w:p w14:paraId="3B2E6FEE">
      <w:pPr>
        <w:pStyle w:val="8"/>
        <w:ind w:left="0" w:leftChars="0" w:firstLine="0" w:firstLineChars="0"/>
        <w:rPr>
          <w:color w:val="000000" w:themeColor="text1"/>
          <w:highlight w:val="none"/>
          <w14:textFill>
            <w14:solidFill>
              <w14:schemeClr w14:val="tx1"/>
            </w14:solidFill>
          </w14:textFill>
        </w:rPr>
      </w:pPr>
    </w:p>
    <w:p w14:paraId="498A5CB2">
      <w:pPr>
        <w:pStyle w:val="8"/>
        <w:rPr>
          <w:color w:val="000000" w:themeColor="text1"/>
          <w:highlight w:val="none"/>
          <w14:textFill>
            <w14:solidFill>
              <w14:schemeClr w14:val="tx1"/>
            </w14:solidFill>
          </w14:textFill>
        </w:rPr>
      </w:pPr>
    </w:p>
    <w:p w14:paraId="0BB48E1E">
      <w:pPr>
        <w:pStyle w:val="8"/>
        <w:rPr>
          <w:color w:val="000000" w:themeColor="text1"/>
          <w:highlight w:val="none"/>
          <w14:textFill>
            <w14:solidFill>
              <w14:schemeClr w14:val="tx1"/>
            </w14:solidFill>
          </w14:textFill>
        </w:rPr>
      </w:pPr>
    </w:p>
    <w:p w14:paraId="2A9427AE">
      <w:pPr>
        <w:rPr>
          <w:highlight w:val="none"/>
        </w:rPr>
      </w:pPr>
    </w:p>
    <w:p w14:paraId="4CCBE6AA">
      <w:pPr>
        <w:snapToGrid w:val="0"/>
        <w:spacing w:line="360" w:lineRule="auto"/>
        <w:ind w:firstLine="1928" w:firstLineChars="600"/>
        <w:jc w:val="both"/>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采 购 人：</w:t>
      </w:r>
      <w:r>
        <w:rPr>
          <w:rFonts w:hint="eastAsia" w:ascii="宋体" w:hAnsi="宋体" w:cs="宋体"/>
          <w:b/>
          <w:bCs/>
          <w:color w:val="000000" w:themeColor="text1"/>
          <w:sz w:val="32"/>
          <w:szCs w:val="32"/>
          <w:highlight w:val="none"/>
          <w:lang w:eastAsia="zh-CN"/>
          <w14:textFill>
            <w14:solidFill>
              <w14:schemeClr w14:val="tx1"/>
            </w14:solidFill>
          </w14:textFill>
        </w:rPr>
        <w:t>博爱县民政局</w:t>
      </w:r>
    </w:p>
    <w:p w14:paraId="455CF7B3">
      <w:pPr>
        <w:snapToGrid w:val="0"/>
        <w:spacing w:line="360" w:lineRule="auto"/>
        <w:ind w:firstLine="1928" w:firstLineChars="600"/>
        <w:jc w:val="both"/>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代理机构：</w:t>
      </w:r>
      <w:r>
        <w:rPr>
          <w:rFonts w:hint="eastAsia" w:ascii="宋体" w:hAnsi="宋体" w:cs="宋体"/>
          <w:b/>
          <w:bCs/>
          <w:color w:val="000000" w:themeColor="text1"/>
          <w:sz w:val="32"/>
          <w:szCs w:val="32"/>
          <w:highlight w:val="none"/>
          <w:lang w:eastAsia="zh-CN"/>
          <w14:textFill>
            <w14:solidFill>
              <w14:schemeClr w14:val="tx1"/>
            </w14:solidFill>
          </w14:textFill>
        </w:rPr>
        <w:t>河南众成工程管理有限公司</w:t>
      </w:r>
    </w:p>
    <w:p w14:paraId="3D72F511">
      <w:pPr>
        <w:snapToGrid w:val="0"/>
        <w:spacing w:line="360" w:lineRule="auto"/>
        <w:ind w:firstLine="1928" w:firstLineChars="600"/>
        <w:rPr>
          <w:rFonts w:hint="eastAsia" w:ascii="宋体" w:hAnsi="宋体" w:cs="宋体"/>
          <w:b/>
          <w:bCs/>
          <w:color w:val="000000" w:themeColor="text1"/>
          <w:sz w:val="36"/>
          <w:szCs w:val="36"/>
          <w:highlight w:val="none"/>
          <w14:textFill>
            <w14:solidFill>
              <w14:schemeClr w14:val="tx1"/>
            </w14:solidFill>
          </w14:textFill>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000000" w:themeColor="text1"/>
          <w:sz w:val="32"/>
          <w:szCs w:val="32"/>
          <w:highlight w:val="none"/>
          <w14:textFill>
            <w14:solidFill>
              <w14:schemeClr w14:val="tx1"/>
            </w14:solidFill>
          </w14:textFill>
        </w:rPr>
        <w:t>日    期：202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2月</w:t>
      </w:r>
    </w:p>
    <w:p w14:paraId="3F9AA8C0">
      <w:pPr>
        <w:rPr>
          <w:rStyle w:val="37"/>
          <w:rFonts w:hint="eastAsia" w:ascii="微软雅黑" w:hAnsi="微软雅黑" w:eastAsia="微软雅黑" w:cs="微软雅黑"/>
          <w:color w:val="000000" w:themeColor="text1"/>
          <w:kern w:val="0"/>
          <w:szCs w:val="44"/>
          <w:highlight w:val="none"/>
          <w:u w:val="none"/>
          <w:lang w:val="zh-CN"/>
          <w14:textFill>
            <w14:solidFill>
              <w14:schemeClr w14:val="tx1"/>
            </w14:solidFill>
          </w14:textFill>
        </w:rPr>
      </w:pPr>
    </w:p>
    <w:p w14:paraId="2B489768">
      <w:pPr>
        <w:pStyle w:val="19"/>
        <w:tabs>
          <w:tab w:val="right" w:leader="dot" w:pos="8890"/>
        </w:tabs>
        <w:spacing w:line="360" w:lineRule="auto"/>
        <w:jc w:val="cente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pPr>
      <w:r>
        <w:rPr>
          <w:rStyle w:val="37"/>
          <w:rFonts w:hint="eastAsia" w:ascii="宋体" w:hAnsi="宋体" w:cs="宋体"/>
          <w:b/>
          <w:bCs/>
          <w:color w:val="000000" w:themeColor="text1"/>
          <w:kern w:val="0"/>
          <w:sz w:val="44"/>
          <w:szCs w:val="44"/>
          <w:highlight w:val="none"/>
          <w:u w:val="none"/>
          <w:lang w:val="zh-CN"/>
          <w14:textFill>
            <w14:solidFill>
              <w14:schemeClr w14:val="tx1"/>
            </w14:solidFill>
          </w14:textFill>
        </w:rPr>
        <w:t>目  录</w:t>
      </w:r>
    </w:p>
    <w:p w14:paraId="1AE53977">
      <w:pPr>
        <w:pStyle w:val="19"/>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t>重要事项提示........................................ ................1</w:t>
      </w:r>
    </w:p>
    <w:p w14:paraId="66DA450C">
      <w:pPr>
        <w:pStyle w:val="19"/>
        <w:tabs>
          <w:tab w:val="right" w:leader="dot" w:pos="8890"/>
        </w:tabs>
        <w:spacing w:line="480" w:lineRule="auto"/>
        <w:ind w:firstLine="48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TOC \o "1-3" \h \z \u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"_Toc17836"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竞争性谈判公告（不见面开标）</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_Toc17836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E97CDC0">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投标须知前附表</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_Toc28653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7</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0BD2A47">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"_Toc16130"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第一部分 采购项目相关内容及要求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_Toc16130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11</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40B8C01">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"_Toc18477"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第二部分 参与采购须知</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_Toc18477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13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A06F4A0">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"_Toc27037"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第三部分 其他要求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_Toc27037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7E3AA03">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"_Toc11753"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第四部分 质疑与投诉</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_Toc11753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25</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3FE3A16">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第五部分  采购内容及要求</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_Toc2271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26</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7B0747B6">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"_Toc27476"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第六部分 合同格式及主要条款</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_Toc27476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34</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65F534E0">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"_Toc30461"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第</w:t>
      </w:r>
      <w:r>
        <w:rPr>
          <w:rStyle w:val="37"/>
          <w:rFonts w:hint="eastAsia" w:ascii="宋体" w:hAnsi="宋体" w:cs="宋体"/>
          <w:color w:val="000000" w:themeColor="text1"/>
          <w:kern w:val="0"/>
          <w:sz w:val="24"/>
          <w:highlight w:val="none"/>
          <w:u w:val="none"/>
          <w:lang w:val="en-US" w:eastAsia="zh-CN"/>
          <w14:textFill>
            <w14:solidFill>
              <w14:schemeClr w14:val="tx1"/>
            </w14:solidFill>
          </w14:textFill>
        </w:rPr>
        <w:t>七</w:t>
      </w:r>
      <w:r>
        <w:rPr>
          <w:rStyle w:val="37"/>
          <w:rFonts w:hint="eastAsia" w:ascii="宋体" w:hAnsi="宋体" w:cs="宋体"/>
          <w:color w:val="000000" w:themeColor="text1"/>
          <w:kern w:val="0"/>
          <w:sz w:val="24"/>
          <w:highlight w:val="none"/>
          <w:u w:val="none"/>
          <w14:textFill>
            <w14:solidFill>
              <w14:schemeClr w14:val="tx1"/>
            </w14:solidFill>
          </w14:textFill>
        </w:rPr>
        <w:t>部分  附件—供应商响应文件格式</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_Toc30461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39</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0AFA6F83">
      <w:pPr>
        <w:pStyle w:val="19"/>
        <w:tabs>
          <w:tab w:val="right" w:leader="dot" w:pos="8890"/>
        </w:tabs>
        <w:spacing w:line="480" w:lineRule="auto"/>
        <w:ind w:firstLine="420" w:firstLineChars="200"/>
        <w:rPr>
          <w:rStyle w:val="37"/>
          <w:rFonts w:hint="eastAsia" w:ascii="宋体" w:hAnsi="宋体" w:cs="宋体"/>
          <w:color w:val="000000" w:themeColor="text1"/>
          <w:kern w:val="0"/>
          <w:sz w:val="24"/>
          <w:highlight w:val="none"/>
          <w:u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"_Toc21790"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优化和提升政府采购政策</w:t>
      </w:r>
      <w:r>
        <w:rPr>
          <w:rStyle w:val="37"/>
          <w:rFonts w:hint="eastAsia" w:ascii="宋体" w:hAnsi="宋体" w:cs="宋体"/>
          <w:color w:val="000000" w:themeColor="text1"/>
          <w:kern w:val="0"/>
          <w:sz w:val="24"/>
          <w:highlight w:val="none"/>
          <w:u w:val="none"/>
          <w14:textFill>
            <w14:solidFill>
              <w14:schemeClr w14:val="tx1"/>
            </w14:solidFill>
          </w14:textFill>
        </w:rPr>
        <w:tab/>
      </w:r>
      <w:r>
        <w:rPr>
          <w:rStyle w:val="37"/>
          <w:rFonts w:hint="eastAsia" w:ascii="宋体" w:hAnsi="宋体" w:cs="宋体"/>
          <w:color w:val="000000" w:themeColor="text1"/>
          <w:kern w:val="0"/>
          <w:sz w:val="24"/>
          <w:highlight w:val="none"/>
          <w:u w:val="none"/>
          <w14:textFill>
            <w14:solidFill>
              <w14:schemeClr w14:val="tx1"/>
            </w14:solidFill>
          </w14:textFill>
        </w:rPr>
        <w:fldChar w:fldCharType="begin"/>
      </w:r>
      <w:r>
        <w:rPr>
          <w:rStyle w:val="37"/>
          <w:rFonts w:hint="eastAsia" w:ascii="宋体" w:hAnsi="宋体" w:cs="宋体"/>
          <w:color w:val="000000" w:themeColor="text1"/>
          <w:kern w:val="0"/>
          <w:sz w:val="24"/>
          <w:highlight w:val="none"/>
          <w:u w:val="none"/>
          <w14:textFill>
            <w14:solidFill>
              <w14:schemeClr w14:val="tx1"/>
            </w14:solidFill>
          </w14:textFill>
        </w:rPr>
        <w:instrText xml:space="preserve"> PAGEREF _Toc21790 \h </w:instrText>
      </w:r>
      <w:r>
        <w:rPr>
          <w:rStyle w:val="37"/>
          <w:rFonts w:hint="eastAsia" w:ascii="宋体" w:hAnsi="宋体" w:cs="宋体"/>
          <w:color w:val="000000" w:themeColor="text1"/>
          <w:kern w:val="0"/>
          <w:sz w:val="24"/>
          <w:highlight w:val="none"/>
          <w:u w:val="none"/>
          <w14:textFill>
            <w14:solidFill>
              <w14:schemeClr w14:val="tx1"/>
            </w14:solidFill>
          </w14:textFill>
        </w:rPr>
        <w:fldChar w:fldCharType="separate"/>
      </w:r>
      <w:r>
        <w:rPr>
          <w:rStyle w:val="37"/>
          <w:rFonts w:hint="eastAsia" w:ascii="宋体" w:hAnsi="宋体" w:cs="宋体"/>
          <w:color w:val="000000" w:themeColor="text1"/>
          <w:kern w:val="0"/>
          <w:sz w:val="24"/>
          <w:highlight w:val="none"/>
          <w:u w:val="none"/>
          <w14:textFill>
            <w14:solidFill>
              <w14:schemeClr w14:val="tx1"/>
            </w14:solidFill>
          </w14:textFill>
        </w:rPr>
        <w:t>53</w:t>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4494AAEA">
      <w:pPr>
        <w:pStyle w:val="19"/>
        <w:tabs>
          <w:tab w:val="right" w:leader="dot" w:pos="8890"/>
        </w:tabs>
        <w:spacing w:line="480" w:lineRule="auto"/>
        <w:ind w:firstLine="480" w:firstLineChars="200"/>
        <w:rPr>
          <w:color w:val="000000" w:themeColor="text1"/>
          <w:sz w:val="24"/>
          <w:highlight w:val="none"/>
          <w14:textFill>
            <w14:solidFill>
              <w14:schemeClr w14:val="tx1"/>
            </w14:solidFill>
          </w14:textFill>
        </w:rPr>
      </w:pPr>
      <w:r>
        <w:rPr>
          <w:rStyle w:val="37"/>
          <w:rFonts w:hint="eastAsia" w:ascii="宋体" w:hAnsi="宋体" w:cs="宋体"/>
          <w:color w:val="000000" w:themeColor="text1"/>
          <w:kern w:val="0"/>
          <w:sz w:val="24"/>
          <w:highlight w:val="none"/>
          <w:u w:val="none"/>
          <w14:textFill>
            <w14:solidFill>
              <w14:schemeClr w14:val="tx1"/>
            </w14:solidFill>
          </w14:textFill>
        </w:rPr>
        <w:fldChar w:fldCharType="end"/>
      </w:r>
    </w:p>
    <w:p w14:paraId="51E2FEF3">
      <w:pPr>
        <w:spacing w:line="360" w:lineRule="auto"/>
        <w:jc w:val="center"/>
        <w:rPr>
          <w:rFonts w:hint="eastAsia" w:ascii="微软雅黑" w:hAnsi="微软雅黑" w:eastAsia="微软雅黑" w:cs="微软雅黑"/>
          <w:color w:val="000000" w:themeColor="text1"/>
          <w:sz w:val="36"/>
          <w:szCs w:val="36"/>
          <w:highlight w:val="none"/>
          <w14:textFill>
            <w14:solidFill>
              <w14:schemeClr w14:val="tx1"/>
            </w14:solidFill>
          </w14:textFill>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533668867"/>
      <w:bookmarkStart w:id="1" w:name="_Toc760"/>
      <w:bookmarkStart w:id="2" w:name="_Toc19411"/>
    </w:p>
    <w:p w14:paraId="06C3C712">
      <w:pPr>
        <w:spacing w:line="360" w:lineRule="auto"/>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重要事项提示</w:t>
      </w:r>
    </w:p>
    <w:p w14:paraId="1FB8B3A4">
      <w:pPr>
        <w:rPr>
          <w:color w:val="000000" w:themeColor="text1"/>
          <w:highlight w:val="none"/>
          <w14:textFill>
            <w14:solidFill>
              <w14:schemeClr w14:val="tx1"/>
            </w14:solidFill>
          </w14:textFill>
        </w:rPr>
      </w:pPr>
    </w:p>
    <w:p w14:paraId="0BD0539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5223F73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以下环节是此采购文件中需要重点关注的环节，对以下内容的忽视，可能是影响贵公司中标的重要因素。请在编制响应性文件参与政府采购时高度重视。</w:t>
      </w:r>
    </w:p>
    <w:p w14:paraId="48CEC7C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1、谈判文件应通过焦作市公共资源交易中心网站会员系统进行网上下载；未使用企业CA密匙登录焦作市公共资源交易中心网站会员系统进行网上下载文件的，投标视为无效；</w:t>
      </w:r>
    </w:p>
    <w:p w14:paraId="3FD2E0E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000000" w:themeColor="text1"/>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sz w:val="24"/>
          <w:highlight w:val="none"/>
          <w14:textFill>
            <w14:solidFill>
              <w14:schemeClr w14:val="tx1"/>
            </w14:solidFill>
          </w14:textFill>
        </w:rPr>
        <w:t xml:space="preserve"> ）按要求解密投标文件。因文件未及时上传导致投标失败的责任由供应商自行承担，具体要求详见</w:t>
      </w:r>
      <w:r>
        <w:rPr>
          <w:rFonts w:hint="eastAsia" w:ascii="宋体" w:hAnsi="宋体"/>
          <w:color w:val="000000" w:themeColor="text1"/>
          <w:kern w:val="0"/>
          <w:sz w:val="24"/>
          <w:highlight w:val="none"/>
          <w14:textFill>
            <w14:solidFill>
              <w14:schemeClr w14:val="tx1"/>
            </w14:solidFill>
          </w14:textFill>
        </w:rPr>
        <w:t>竞争性谈判</w:t>
      </w:r>
      <w:r>
        <w:rPr>
          <w:rFonts w:hint="eastAsia" w:ascii="宋体" w:hAnsi="宋体" w:cs="宋体"/>
          <w:color w:val="000000" w:themeColor="text1"/>
          <w:sz w:val="24"/>
          <w:highlight w:val="none"/>
          <w14:textFill>
            <w14:solidFill>
              <w14:schemeClr w14:val="tx1"/>
            </w14:solidFill>
          </w14:textFill>
        </w:rPr>
        <w:t>文件。平台统一技术服务电话：400-998-0000，服务QQ：4008503300，服务时间：周一至周日 8：00-17：30。</w:t>
      </w:r>
    </w:p>
    <w:p w14:paraId="1809EB70">
      <w:pPr>
        <w:pStyle w:val="22"/>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2"/>
        <w:numPr>
          <w:ilvl w:val="0"/>
          <w:numId w:val="2"/>
        </w:numPr>
        <w:spacing w:before="0" w:beforeAutospacing="0" w:after="0" w:afterAutospacing="0" w:line="360" w:lineRule="auto"/>
        <w:ind w:firstLine="48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5BDB93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3.1 未按竞争性谈判文件明示的规定签字或盖章的；</w:t>
      </w:r>
    </w:p>
    <w:p w14:paraId="11A4E2DE">
      <w:pPr>
        <w:widowControl/>
        <w:spacing w:line="360" w:lineRule="auto"/>
        <w:ind w:firstLine="480" w:firstLineChars="200"/>
        <w:rPr>
          <w:rFonts w:hint="eastAsia" w:ascii="宋体" w:hAnsi="宋体"/>
          <w:color w:val="auto"/>
          <w:kern w:val="0"/>
          <w:sz w:val="24"/>
          <w:highlight w:val="none"/>
        </w:rPr>
      </w:pPr>
      <w:r>
        <w:rPr>
          <w:rFonts w:hint="eastAsia" w:ascii="宋体" w:hAnsi="宋体"/>
          <w:color w:val="000000" w:themeColor="text1"/>
          <w:kern w:val="0"/>
          <w:sz w:val="24"/>
          <w:highlight w:val="none"/>
          <w14:textFill>
            <w14:solidFill>
              <w14:schemeClr w14:val="tx1"/>
            </w14:solidFill>
          </w14:textFill>
        </w:rPr>
        <w:t>3.2 响应文件的关键内容</w:t>
      </w:r>
      <w:r>
        <w:rPr>
          <w:rFonts w:hint="eastAsia" w:ascii="宋体" w:hAnsi="宋体"/>
          <w:color w:val="auto"/>
          <w:kern w:val="0"/>
          <w:sz w:val="24"/>
          <w:highlight w:val="none"/>
        </w:rPr>
        <w:t>（投标报价、</w:t>
      </w:r>
      <w:r>
        <w:rPr>
          <w:rFonts w:hint="eastAsia" w:ascii="宋体" w:hAnsi="宋体" w:cs="宋体"/>
          <w:color w:val="auto"/>
          <w:kern w:val="0"/>
          <w:sz w:val="24"/>
          <w:highlight w:val="none"/>
          <w:lang w:val="en-US" w:eastAsia="zh-CN"/>
        </w:rPr>
        <w:t>服务期限</w:t>
      </w:r>
      <w:r>
        <w:rPr>
          <w:rFonts w:hint="eastAsia" w:ascii="宋体" w:hAnsi="宋体"/>
          <w:color w:val="auto"/>
          <w:kern w:val="0"/>
          <w:sz w:val="24"/>
          <w:highlight w:val="none"/>
        </w:rPr>
        <w:t>、质量要求等）未填写或填写字迹模糊、达不到采购要求的；</w:t>
      </w:r>
    </w:p>
    <w:p w14:paraId="7DA01844">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3.3 采购报价超出控制价的；</w:t>
      </w:r>
    </w:p>
    <w:p w14:paraId="01CFDCB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3.4 响应文件中对同一项目有两个或多个报价，且未声明哪一个有效的；</w:t>
      </w:r>
    </w:p>
    <w:p w14:paraId="1E52530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3.5 相关资格证明文件不合格的；</w:t>
      </w:r>
    </w:p>
    <w:p w14:paraId="574846DA">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3.6 响应文件中附有采购人不能接受的条件的；</w:t>
      </w:r>
    </w:p>
    <w:p w14:paraId="0AD30E16">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3.7 响应文件有明显不符合竞争性谈判文件其它要求和有关法律法规的；</w:t>
      </w:r>
    </w:p>
    <w:p w14:paraId="5DD02341">
      <w:pPr>
        <w:widowControl/>
        <w:spacing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3.8 评标过程中，如因两个或两个以上供应商在同一台计算机或同一个IP上传响应文件，而被不见面开标系统提示为“投标文件制作机器码一致”的，则视其投标无效；</w:t>
      </w:r>
    </w:p>
    <w:p w14:paraId="14E5567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6CC50C40">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5E73E98F">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FD40BF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24DB9D42">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82CABFE">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04CEFFE6">
      <w:pPr>
        <w:pStyle w:val="22"/>
        <w:spacing w:before="0" w:beforeAutospacing="0" w:after="0" w:afterAutospacing="0" w:line="360" w:lineRule="auto"/>
        <w:ind w:left="420"/>
        <w:jc w:val="both"/>
        <w:rPr>
          <w:rFonts w:hint="eastAsia"/>
          <w:color w:val="000000" w:themeColor="text1"/>
          <w:highlight w:val="none"/>
          <w14:textFill>
            <w14:solidFill>
              <w14:schemeClr w14:val="tx1"/>
            </w14:solidFill>
          </w14:textFill>
        </w:rPr>
      </w:pPr>
    </w:p>
    <w:p w14:paraId="143BDF1E">
      <w:pPr>
        <w:rPr>
          <w:rFonts w:hint="eastAsia" w:ascii="宋体" w:hAnsi="宋体" w:cs="宋体"/>
          <w:b/>
          <w:bCs/>
          <w:color w:val="000000" w:themeColor="text1"/>
          <w:sz w:val="32"/>
          <w:szCs w:val="32"/>
          <w:highlight w:val="none"/>
          <w14:textFill>
            <w14:solidFill>
              <w14:schemeClr w14:val="tx1"/>
            </w14:solidFill>
          </w14:textFill>
        </w:rPr>
      </w:pPr>
    </w:p>
    <w:p w14:paraId="76938839">
      <w:pPr>
        <w:pStyle w:val="2"/>
        <w:spacing w:before="0" w:after="0" w:line="36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3" w:name="OLE_LINK1"/>
      <w:r>
        <w:rPr>
          <w:rFonts w:hint="eastAsia" w:ascii="宋体" w:hAnsi="宋体" w:cs="宋体"/>
          <w:color w:val="000000" w:themeColor="text1"/>
          <w:sz w:val="28"/>
          <w:szCs w:val="28"/>
          <w:highlight w:val="none"/>
          <w:lang w:eastAsia="zh-CN"/>
          <w14:textFill>
            <w14:solidFill>
              <w14:schemeClr w14:val="tx1"/>
            </w14:solidFill>
          </w14:textFill>
        </w:rPr>
        <w:t>博爱县民政局中心敬老院食材采购项目</w:t>
      </w:r>
    </w:p>
    <w:p w14:paraId="14DDEFFD">
      <w:pPr>
        <w:pStyle w:val="2"/>
        <w:spacing w:before="0" w:after="0" w:line="360" w:lineRule="auto"/>
        <w:jc w:val="center"/>
        <w:rPr>
          <w:color w:val="000000" w:themeColor="text1"/>
          <w:sz w:val="28"/>
          <w:szCs w:val="28"/>
          <w:highlight w:val="none"/>
          <w14:textFill>
            <w14:solidFill>
              <w14:schemeClr w14:val="tx1"/>
            </w14:solidFill>
          </w14:textFill>
        </w:rPr>
      </w:pPr>
      <w:bookmarkStart w:id="4" w:name="_Toc17836"/>
      <w:r>
        <w:rPr>
          <w:rFonts w:hint="eastAsia" w:ascii="宋体" w:hAnsi="宋体" w:cs="宋体"/>
          <w:color w:val="000000" w:themeColor="text1"/>
          <w:sz w:val="28"/>
          <w:szCs w:val="28"/>
          <w:highlight w:val="none"/>
          <w14:textFill>
            <w14:solidFill>
              <w14:schemeClr w14:val="tx1"/>
            </w14:solidFill>
          </w14:textFill>
        </w:rPr>
        <w:t>竞争性谈判公告（不见面开标）</w:t>
      </w:r>
      <w:bookmarkEnd w:id="4"/>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0E4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5" w:type="dxa"/>
          </w:tcPr>
          <w:p w14:paraId="5E8477BC">
            <w:pPr>
              <w:adjustRightInd w:val="0"/>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项目概况</w:t>
            </w:r>
          </w:p>
          <w:p w14:paraId="6A69943B">
            <w:pPr>
              <w:adjustRightInd w:val="0"/>
              <w:snapToGrid w:val="0"/>
              <w:spacing w:line="360" w:lineRule="auto"/>
              <w:ind w:firstLine="480" w:firstLineChars="200"/>
              <w:rPr>
                <w:rFonts w:hint="default" w:ascii="宋体" w:hAnsi="宋体" w:cs="宋体"/>
                <w:color w:val="000000" w:themeColor="text1"/>
                <w:kern w:val="0"/>
                <w:sz w:val="24"/>
                <w:highlight w:val="none"/>
                <w:vertAlign w:val="baseli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博爱县民政局中心敬老院食材采购项目</w:t>
            </w:r>
            <w:r>
              <w:rPr>
                <w:rFonts w:hint="default" w:ascii="宋体" w:hAnsi="宋体" w:cs="宋体"/>
                <w:color w:val="000000" w:themeColor="text1"/>
                <w:kern w:val="0"/>
                <w:sz w:val="24"/>
                <w:highlight w:val="none"/>
                <w14:textFill>
                  <w14:solidFill>
                    <w14:schemeClr w14:val="tx1"/>
                  </w14:solidFill>
                </w14:textFill>
              </w:rPr>
              <w:t>招标项目的潜在</w:t>
            </w:r>
            <w:r>
              <w:rPr>
                <w:rFonts w:hint="eastAsia" w:ascii="宋体" w:hAnsi="宋体" w:cs="宋体"/>
                <w:color w:val="000000" w:themeColor="text1"/>
                <w:kern w:val="0"/>
                <w:sz w:val="24"/>
                <w:highlight w:val="none"/>
                <w:lang w:val="en-US" w:eastAsia="zh-CN"/>
                <w14:textFill>
                  <w14:solidFill>
                    <w14:schemeClr w14:val="tx1"/>
                  </w14:solidFill>
                </w14:textFill>
              </w:rPr>
              <w:t>供应商</w:t>
            </w:r>
            <w:r>
              <w:rPr>
                <w:rFonts w:hint="default" w:ascii="宋体" w:hAnsi="宋体" w:cs="宋体"/>
                <w:color w:val="000000" w:themeColor="text1"/>
                <w:kern w:val="0"/>
                <w:sz w:val="24"/>
                <w:highlight w:val="none"/>
                <w14:textFill>
                  <w14:solidFill>
                    <w14:schemeClr w14:val="tx1"/>
                  </w14:solidFill>
                </w14:textFill>
              </w:rPr>
              <w:t>应在焦作市公共资源交易中心网站获取</w:t>
            </w:r>
            <w:r>
              <w:rPr>
                <w:rFonts w:hint="eastAsia" w:ascii="宋体" w:hAnsi="宋体" w:cs="宋体"/>
                <w:color w:val="000000" w:themeColor="text1"/>
                <w:kern w:val="0"/>
                <w:sz w:val="24"/>
                <w:highlight w:val="none"/>
                <w:lang w:val="en-US" w:eastAsia="zh-CN"/>
                <w14:textFill>
                  <w14:solidFill>
                    <w14:schemeClr w14:val="tx1"/>
                  </w14:solidFill>
                </w14:textFill>
              </w:rPr>
              <w:t>采购</w:t>
            </w:r>
            <w:r>
              <w:rPr>
                <w:rFonts w:hint="default" w:ascii="宋体" w:hAnsi="宋体" w:cs="宋体"/>
                <w:color w:val="000000" w:themeColor="text1"/>
                <w:kern w:val="0"/>
                <w:sz w:val="24"/>
                <w:highlight w:val="none"/>
                <w14:textFill>
                  <w14:solidFill>
                    <w14:schemeClr w14:val="tx1"/>
                  </w14:solidFill>
                </w14:textFill>
              </w:rPr>
              <w:t>文件，并</w:t>
            </w:r>
            <w:r>
              <w:rPr>
                <w:rFonts w:hint="default" w:ascii="宋体" w:hAnsi="宋体" w:cs="宋体"/>
                <w:color w:val="auto"/>
                <w:kern w:val="0"/>
                <w:sz w:val="24"/>
                <w:highlight w:val="none"/>
              </w:rPr>
              <w:t>于202</w:t>
            </w:r>
            <w:r>
              <w:rPr>
                <w:rFonts w:hint="eastAsia" w:ascii="宋体" w:hAnsi="宋体" w:cs="宋体"/>
                <w:color w:val="auto"/>
                <w:kern w:val="0"/>
                <w:sz w:val="24"/>
                <w:highlight w:val="none"/>
                <w:lang w:val="en-US" w:eastAsia="zh-CN"/>
              </w:rPr>
              <w:t>6年2月9</w:t>
            </w:r>
            <w:r>
              <w:rPr>
                <w:rFonts w:hint="default"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08 </w:t>
            </w:r>
            <w:r>
              <w:rPr>
                <w:rFonts w:hint="default" w:ascii="宋体" w:hAnsi="宋体" w:cs="宋体"/>
                <w:color w:val="auto"/>
                <w:kern w:val="0"/>
                <w:sz w:val="24"/>
                <w:highlight w:val="none"/>
              </w:rPr>
              <w:t>时</w:t>
            </w:r>
            <w:r>
              <w:rPr>
                <w:rFonts w:hint="eastAsia" w:ascii="宋体" w:hAnsi="宋体" w:cs="宋体"/>
                <w:color w:val="auto"/>
                <w:kern w:val="0"/>
                <w:sz w:val="24"/>
                <w:highlight w:val="none"/>
                <w:lang w:val="en-US" w:eastAsia="zh-CN"/>
              </w:rPr>
              <w:t>30</w:t>
            </w:r>
            <w:r>
              <w:rPr>
                <w:rFonts w:hint="default" w:ascii="宋体" w:hAnsi="宋体" w:cs="宋体"/>
                <w:color w:val="000000" w:themeColor="text1"/>
                <w:kern w:val="0"/>
                <w:sz w:val="24"/>
                <w:highlight w:val="none"/>
                <w14:textFill>
                  <w14:solidFill>
                    <w14:schemeClr w14:val="tx1"/>
                  </w14:solidFill>
                </w14:textFill>
              </w:rPr>
              <w:t>分（北京时间）前递交响应文件。</w:t>
            </w:r>
          </w:p>
        </w:tc>
      </w:tr>
    </w:tbl>
    <w:p w14:paraId="45B3CA3E">
      <w:pPr>
        <w:pStyle w:val="72"/>
        <w:spacing w:line="360" w:lineRule="auto"/>
        <w:ind w:firstLine="482"/>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一、项目基本情况</w:t>
      </w:r>
    </w:p>
    <w:p w14:paraId="6902C15C">
      <w:pPr>
        <w:adjustRightInd w:val="0"/>
        <w:snapToGrid w:val="0"/>
        <w:spacing w:line="360" w:lineRule="auto"/>
        <w:ind w:firstLine="480" w:firstLineChars="200"/>
        <w:rPr>
          <w:rFonts w:hint="eastAsia" w:ascii="宋体" w:hAnsi="宋体" w:cs="宋体"/>
          <w:color w:val="000000" w:themeColor="text1"/>
          <w:kern w:val="0"/>
          <w:sz w:val="24"/>
          <w:highlight w:val="red"/>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博爱县民政局中心敬老院食材采购项目</w:t>
      </w:r>
      <w:r>
        <w:rPr>
          <w:rFonts w:hint="eastAsia" w:ascii="宋体" w:hAnsi="宋体" w:cs="宋体"/>
          <w:color w:val="000000" w:themeColor="text1"/>
          <w:kern w:val="0"/>
          <w:sz w:val="24"/>
          <w:highlight w:val="none"/>
          <w14:textFill>
            <w14:solidFill>
              <w14:schemeClr w14:val="tx1"/>
            </w14:solidFill>
          </w14:textFill>
        </w:rPr>
        <w:t>；</w:t>
      </w:r>
    </w:p>
    <w:p w14:paraId="29C0CAFA">
      <w:pPr>
        <w:adjustRightInd w:val="0"/>
        <w:snapToGrid w:val="0"/>
        <w:spacing w:line="360" w:lineRule="auto"/>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.采购方式：竞争性谈判；</w:t>
      </w:r>
    </w:p>
    <w:p w14:paraId="466F1ED8">
      <w:pPr>
        <w:adjustRightInd w:val="0"/>
        <w:snapToGrid w:val="0"/>
        <w:spacing w:line="360" w:lineRule="auto"/>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w:t>
      </w:r>
      <w:r>
        <w:rPr>
          <w:rFonts w:hint="eastAsia" w:ascii="宋体" w:hAnsi="宋体" w:cs="宋体"/>
          <w:color w:val="000000" w:themeColor="text1"/>
          <w:kern w:val="0"/>
          <w:sz w:val="24"/>
          <w:highlight w:val="none"/>
          <w14:textFill>
            <w14:solidFill>
              <w14:schemeClr w14:val="tx1"/>
            </w14:solidFill>
          </w14:textFill>
        </w:rPr>
        <w:t>预算金额：</w:t>
      </w:r>
      <w:r>
        <w:rPr>
          <w:rFonts w:hint="eastAsia" w:ascii="宋体" w:hAnsi="宋体" w:eastAsia="宋体" w:cs="宋体"/>
          <w:color w:val="000000" w:themeColor="text1"/>
          <w:kern w:val="0"/>
          <w:sz w:val="24"/>
          <w:highlight w:val="none"/>
          <w:lang w:val="en-US" w:eastAsia="zh-CN"/>
          <w14:textFill>
            <w14:solidFill>
              <w14:schemeClr w14:val="tx1"/>
            </w14:solidFill>
          </w14:textFill>
        </w:rPr>
        <w:t>博爱县三家最大商超均</w:t>
      </w:r>
      <w:r>
        <w:rPr>
          <w:rFonts w:hint="default" w:ascii="宋体" w:hAnsi="宋体" w:eastAsia="宋体" w:cs="宋体"/>
          <w:color w:val="000000" w:themeColor="text1"/>
          <w:kern w:val="0"/>
          <w:sz w:val="24"/>
          <w:highlight w:val="none"/>
          <w:lang w:val="en-US" w:eastAsia="zh-CN"/>
          <w14:textFill>
            <w14:solidFill>
              <w14:schemeClr w14:val="tx1"/>
            </w14:solidFill>
          </w14:textFill>
        </w:rPr>
        <w:t>价</w:t>
      </w:r>
      <w:r>
        <w:rPr>
          <w:rFonts w:hint="eastAsia" w:ascii="宋体" w:hAnsi="宋体" w:eastAsia="宋体" w:cs="宋体"/>
          <w:color w:val="000000" w:themeColor="text1"/>
          <w:kern w:val="0"/>
          <w:sz w:val="24"/>
          <w:highlight w:val="none"/>
          <w:lang w:val="en-US" w:eastAsia="zh-CN"/>
          <w14:textFill>
            <w14:solidFill>
              <w14:schemeClr w14:val="tx1"/>
            </w14:solidFill>
          </w14:textFill>
        </w:rPr>
        <w:t>平均值的</w:t>
      </w:r>
      <w:r>
        <w:rPr>
          <w:rFonts w:hint="eastAsia" w:ascii="宋体" w:hAnsi="宋体" w:cs="宋体"/>
          <w:color w:val="000000" w:themeColor="text1"/>
          <w:kern w:val="0"/>
          <w:sz w:val="24"/>
          <w:highlight w:val="none"/>
          <w:lang w:val="en-US" w:eastAsia="zh-CN"/>
          <w14:textFill>
            <w14:solidFill>
              <w14:schemeClr w14:val="tx1"/>
            </w14:solidFill>
          </w14:textFill>
        </w:rPr>
        <w:t>100</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tbl>
      <w:tblPr>
        <w:tblStyle w:val="27"/>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344"/>
        <w:gridCol w:w="2689"/>
        <w:gridCol w:w="1356"/>
        <w:gridCol w:w="1288"/>
      </w:tblGrid>
      <w:tr w14:paraId="12F6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40" w:type="dxa"/>
            <w:noWrap/>
            <w:vAlign w:val="center"/>
          </w:tcPr>
          <w:p w14:paraId="2FFF21E8">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344" w:type="dxa"/>
            <w:noWrap/>
            <w:vAlign w:val="center"/>
          </w:tcPr>
          <w:p w14:paraId="33A886A7">
            <w:pPr>
              <w:widowControl/>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包名称</w:t>
            </w:r>
          </w:p>
        </w:tc>
        <w:tc>
          <w:tcPr>
            <w:tcW w:w="2689" w:type="dxa"/>
            <w:noWrap/>
            <w:vAlign w:val="center"/>
          </w:tcPr>
          <w:p w14:paraId="0C5637E9">
            <w:pPr>
              <w:widowControl/>
              <w:jc w:val="center"/>
              <w:rPr>
                <w:rFonts w:hint="eastAsia" w:ascii="宋体" w:hAnsi="宋体" w:cs="宋体"/>
                <w:color w:val="000000" w:themeColor="text1"/>
                <w:sz w:val="24"/>
                <w:highlight w:val="red"/>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采购</w:t>
            </w:r>
            <w:r>
              <w:rPr>
                <w:rFonts w:hint="eastAsia" w:ascii="宋体" w:hAnsi="宋体" w:cs="宋体"/>
                <w:color w:val="000000" w:themeColor="text1"/>
                <w:kern w:val="0"/>
                <w:sz w:val="24"/>
                <w:highlight w:val="none"/>
                <w14:textFill>
                  <w14:solidFill>
                    <w14:schemeClr w14:val="tx1"/>
                  </w14:solidFill>
                </w14:textFill>
              </w:rPr>
              <w:t>预算金额</w:t>
            </w:r>
          </w:p>
        </w:tc>
        <w:tc>
          <w:tcPr>
            <w:tcW w:w="1356" w:type="dxa"/>
            <w:noWrap/>
            <w:vAlign w:val="center"/>
          </w:tcPr>
          <w:p w14:paraId="423FC3A3">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是否专门面向中小企业</w:t>
            </w:r>
          </w:p>
        </w:tc>
        <w:tc>
          <w:tcPr>
            <w:tcW w:w="1288" w:type="dxa"/>
            <w:noWrap/>
            <w:vAlign w:val="center"/>
          </w:tcPr>
          <w:p w14:paraId="63E5D1FC">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采购预留金额（元）</w:t>
            </w:r>
          </w:p>
        </w:tc>
      </w:tr>
      <w:tr w14:paraId="133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0" w:type="dxa"/>
            <w:noWrap/>
            <w:vAlign w:val="center"/>
          </w:tcPr>
          <w:p w14:paraId="6B4C355F">
            <w:pPr>
              <w:widowControl/>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344" w:type="dxa"/>
            <w:noWrap/>
            <w:vAlign w:val="center"/>
          </w:tcPr>
          <w:p w14:paraId="0AF19268">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博爱县民政局中心敬老院食材采购项目</w:t>
            </w:r>
          </w:p>
        </w:tc>
        <w:tc>
          <w:tcPr>
            <w:tcW w:w="2689" w:type="dxa"/>
            <w:noWrap/>
            <w:vAlign w:val="center"/>
          </w:tcPr>
          <w:p w14:paraId="5D7F8453">
            <w:pPr>
              <w:adjustRightInd w:val="0"/>
              <w:snapToGrid w:val="0"/>
              <w:spacing w:line="360" w:lineRule="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博爱县三家最大商超均</w:t>
            </w:r>
            <w:r>
              <w:rPr>
                <w:rFonts w:hint="default" w:ascii="宋体" w:hAnsi="宋体" w:eastAsia="宋体" w:cs="宋体"/>
                <w:color w:val="000000" w:themeColor="text1"/>
                <w:kern w:val="0"/>
                <w:sz w:val="24"/>
                <w:highlight w:val="none"/>
                <w:lang w:val="en-US" w:eastAsia="zh-CN"/>
                <w14:textFill>
                  <w14:solidFill>
                    <w14:schemeClr w14:val="tx1"/>
                  </w14:solidFill>
                </w14:textFill>
              </w:rPr>
              <w:t>价</w:t>
            </w:r>
            <w:r>
              <w:rPr>
                <w:rFonts w:hint="eastAsia" w:ascii="宋体" w:hAnsi="宋体" w:eastAsia="宋体" w:cs="宋体"/>
                <w:color w:val="000000" w:themeColor="text1"/>
                <w:kern w:val="0"/>
                <w:sz w:val="24"/>
                <w:highlight w:val="none"/>
                <w:lang w:val="en-US" w:eastAsia="zh-CN"/>
                <w14:textFill>
                  <w14:solidFill>
                    <w14:schemeClr w14:val="tx1"/>
                  </w14:solidFill>
                </w14:textFill>
              </w:rPr>
              <w:t>平均值的</w:t>
            </w:r>
            <w:r>
              <w:rPr>
                <w:rFonts w:hint="eastAsia" w:ascii="宋体" w:hAnsi="宋体" w:cs="宋体"/>
                <w:color w:val="000000" w:themeColor="text1"/>
                <w:kern w:val="0"/>
                <w:sz w:val="24"/>
                <w:highlight w:val="none"/>
                <w:lang w:val="en-US" w:eastAsia="zh-CN"/>
                <w14:textFill>
                  <w14:solidFill>
                    <w14:schemeClr w14:val="tx1"/>
                  </w14:solidFill>
                </w14:textFill>
              </w:rPr>
              <w:t>100</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tc>
        <w:tc>
          <w:tcPr>
            <w:tcW w:w="1356" w:type="dxa"/>
            <w:noWrap/>
            <w:vAlign w:val="center"/>
          </w:tcPr>
          <w:p w14:paraId="778964E5">
            <w:pPr>
              <w:widowControl/>
              <w:jc w:val="center"/>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是</w:t>
            </w:r>
          </w:p>
        </w:tc>
        <w:tc>
          <w:tcPr>
            <w:tcW w:w="1288" w:type="dxa"/>
            <w:noWrap/>
            <w:vAlign w:val="center"/>
          </w:tcPr>
          <w:p w14:paraId="6B8C79A7">
            <w:pPr>
              <w:widowControl/>
              <w:jc w:val="center"/>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800000</w:t>
            </w:r>
          </w:p>
        </w:tc>
      </w:tr>
    </w:tbl>
    <w:p w14:paraId="51083CDE">
      <w:pPr>
        <w:adjustRightInd w:val="0"/>
        <w:snapToGrid w:val="0"/>
        <w:spacing w:line="360" w:lineRule="auto"/>
        <w:ind w:firstLine="200" w:firstLineChars="200"/>
        <w:rPr>
          <w:rFonts w:hint="eastAsia" w:ascii="宋体" w:hAnsi="宋体" w:cs="宋体"/>
          <w:color w:val="000000" w:themeColor="text1"/>
          <w:kern w:val="0"/>
          <w:sz w:val="10"/>
          <w:szCs w:val="10"/>
          <w:highlight w:val="none"/>
          <w14:textFill>
            <w14:solidFill>
              <w14:schemeClr w14:val="tx1"/>
            </w14:solidFill>
          </w14:textFill>
        </w:rPr>
      </w:pPr>
    </w:p>
    <w:p w14:paraId="1F82FE71">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采购需求（包括但不限于标的的名称、数量、简要技术需求或服务要求等）：</w:t>
      </w:r>
    </w:p>
    <w:p w14:paraId="53875B43">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（1）采购内容：采购配送粮食加工类、肉类、禽蛋类、豆制品、蔬菜类、水果类、调料类、干杂类、油炸烤焙类及其他副食品等，根据实际需要情况提供采购配送服务，一年使用资金约为80万元。</w:t>
      </w:r>
      <w:bookmarkStart w:id="44" w:name="_GoBack"/>
      <w:bookmarkEnd w:id="44"/>
    </w:p>
    <w:p w14:paraId="3358526F">
      <w:pPr>
        <w:keepNext w:val="0"/>
        <w:keepLines w:val="0"/>
        <w:pageBreakBefore w:val="0"/>
        <w:numPr>
          <w:ilvl w:val="0"/>
          <w:numId w:val="0"/>
        </w:numPr>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（2）质量要求：</w:t>
      </w:r>
      <w:r>
        <w:rPr>
          <w:rFonts w:hint="eastAsia" w:ascii="宋体" w:cs="宋体"/>
          <w:bCs/>
          <w:color w:val="auto"/>
          <w:sz w:val="24"/>
          <w:highlight w:val="none"/>
          <w:lang w:eastAsia="zh-CN"/>
        </w:rPr>
        <w:t>合格，符合国家通用食品质量标准和现行食品行业标准及相关食品卫生安全要求；能确保每日用餐的正常供应，并做到品种齐全，确保无责任事故、食品及卫生安全事故；</w:t>
      </w:r>
    </w:p>
    <w:p w14:paraId="11B09D9A">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5.服务期限</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sz w:val="24"/>
          <w:szCs w:val="24"/>
          <w:lang w:val="en-US"/>
        </w:rPr>
        <w:t>自合同签订之日起</w:t>
      </w:r>
      <w:r>
        <w:rPr>
          <w:rFonts w:hint="eastAsia"/>
          <w:sz w:val="24"/>
          <w:szCs w:val="24"/>
          <w:lang w:val="en-US" w:eastAsia="zh-CN"/>
        </w:rPr>
        <w:t>一年</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1C5D108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.本项目是否接受联合体投标：否；</w:t>
      </w:r>
    </w:p>
    <w:p w14:paraId="394F6E1F">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.是否接受进口产品：否；</w:t>
      </w:r>
    </w:p>
    <w:p w14:paraId="374070C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.是否只面向中小企业采购：</w:t>
      </w:r>
      <w:r>
        <w:rPr>
          <w:rFonts w:hint="eastAsia" w:ascii="宋体" w:hAnsi="宋体" w:cs="宋体"/>
          <w:color w:val="000000" w:themeColor="text1"/>
          <w:kern w:val="0"/>
          <w:sz w:val="24"/>
          <w:highlight w:val="none"/>
          <w:lang w:val="en-US" w:eastAsia="zh-CN"/>
          <w14:textFill>
            <w14:solidFill>
              <w14:schemeClr w14:val="tx1"/>
            </w14:solidFill>
          </w14:textFill>
        </w:rPr>
        <w:t>是</w:t>
      </w:r>
      <w:r>
        <w:rPr>
          <w:rFonts w:hint="eastAsia" w:ascii="宋体" w:hAnsi="宋体" w:cs="宋体"/>
          <w:color w:val="000000" w:themeColor="text1"/>
          <w:kern w:val="0"/>
          <w:sz w:val="24"/>
          <w:highlight w:val="none"/>
          <w14:textFill>
            <w14:solidFill>
              <w14:schemeClr w14:val="tx1"/>
            </w14:solidFill>
          </w14:textFill>
        </w:rPr>
        <w:t>。</w:t>
      </w:r>
    </w:p>
    <w:p w14:paraId="3E327F9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3256B2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1.符合《中华人民共和国政府采购法》第二十二条之规定；</w:t>
      </w:r>
    </w:p>
    <w:p w14:paraId="430FA95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p>
    <w:p w14:paraId="4AE0938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3.本项目的特定资格要求：</w:t>
      </w:r>
    </w:p>
    <w:p w14:paraId="1C9FD4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w:t>
      </w:r>
      <w:r>
        <w:rPr>
          <w:rFonts w:hint="eastAsia" w:ascii="宋体" w:hAnsi="宋体" w:cs="宋体"/>
          <w:color w:val="000000" w:themeColor="text1"/>
          <w:spacing w:val="6"/>
          <w:sz w:val="24"/>
          <w:highlight w:val="none"/>
          <w14:textFill>
            <w14:solidFill>
              <w14:schemeClr w14:val="tx1"/>
            </w14:solidFill>
          </w14:textFill>
        </w:rPr>
        <w:t>供应商须具有</w:t>
      </w:r>
      <w:r>
        <w:rPr>
          <w:rFonts w:hint="eastAsia"/>
          <w:spacing w:val="6"/>
          <w:sz w:val="24"/>
          <w:szCs w:val="24"/>
          <w:highlight w:val="none"/>
          <w:lang w:val="en-US" w:eastAsia="zh-CN"/>
        </w:rPr>
        <w:t>有效的</w:t>
      </w:r>
      <w:r>
        <w:rPr>
          <w:rFonts w:hint="eastAsia" w:ascii="宋体" w:hAnsi="宋体" w:cs="宋体"/>
          <w:color w:val="000000" w:themeColor="text1"/>
          <w:spacing w:val="6"/>
          <w:sz w:val="24"/>
          <w:highlight w:val="none"/>
          <w14:textFill>
            <w14:solidFill>
              <w14:schemeClr w14:val="tx1"/>
            </w14:solidFill>
          </w14:textFill>
        </w:rPr>
        <w:t>营业执照，</w:t>
      </w:r>
      <w:r>
        <w:rPr>
          <w:rFonts w:hint="eastAsia" w:ascii="宋体" w:hAnsi="宋体" w:cs="宋体"/>
          <w:color w:val="000000" w:themeColor="text1"/>
          <w:spacing w:val="6"/>
          <w:sz w:val="24"/>
          <w:highlight w:val="none"/>
          <w:lang w:val="en-US" w:eastAsia="zh-CN"/>
          <w14:textFill>
            <w14:solidFill>
              <w14:schemeClr w14:val="tx1"/>
            </w14:solidFill>
          </w14:textFill>
        </w:rPr>
        <w:t>并</w:t>
      </w:r>
      <w:r>
        <w:rPr>
          <w:rFonts w:hint="eastAsia" w:ascii="宋体" w:hAnsi="宋体" w:cs="宋体"/>
          <w:color w:val="000000" w:themeColor="text1"/>
          <w:spacing w:val="6"/>
          <w:sz w:val="24"/>
          <w:highlight w:val="none"/>
          <w14:textFill>
            <w14:solidFill>
              <w14:schemeClr w14:val="tx1"/>
            </w14:solidFill>
          </w14:textFill>
        </w:rPr>
        <w:t>具有主管部门颁发的在有效期内的《食品经营许可证》</w:t>
      </w:r>
      <w:r>
        <w:rPr>
          <w:rFonts w:hint="eastAsia" w:ascii="宋体" w:hAnsi="宋体" w:cs="宋体"/>
          <w:color w:val="000000" w:themeColor="text1"/>
          <w:sz w:val="24"/>
          <w:highlight w:val="none"/>
          <w14:textFill>
            <w14:solidFill>
              <w14:schemeClr w14:val="tx1"/>
            </w14:solidFill>
          </w14:textFill>
        </w:rPr>
        <w:t>；</w:t>
      </w:r>
    </w:p>
    <w:p w14:paraId="1C120ED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信誉要求：</w:t>
      </w:r>
      <w:r>
        <w:rPr>
          <w:rFonts w:hint="eastAsia" w:ascii="宋体" w:hAnsi="宋体" w:eastAsia="宋体" w:cs="宋体"/>
          <w:color w:val="000000" w:themeColor="text1"/>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宋体"/>
          <w:color w:val="000000" w:themeColor="text1"/>
          <w:sz w:val="24"/>
          <w:highlight w:val="none"/>
          <w14:textFill>
            <w14:solidFill>
              <w14:schemeClr w14:val="tx1"/>
            </w14:solidFill>
          </w14:textFill>
        </w:rPr>
        <w:t>；</w:t>
      </w:r>
    </w:p>
    <w:p w14:paraId="7BCFA0FF">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本项目不接受联合体投标；</w:t>
      </w:r>
    </w:p>
    <w:p w14:paraId="6760498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资格审查方式：资格后审。</w:t>
      </w:r>
    </w:p>
    <w:p w14:paraId="73F09EDF">
      <w:pPr>
        <w:keepNext w:val="0"/>
        <w:keepLines w:val="0"/>
        <w:pageBreakBefore w:val="0"/>
        <w:widowControl/>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10BB6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2月4</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2月6</w:t>
      </w:r>
      <w:r>
        <w:rPr>
          <w:rFonts w:hint="eastAsia" w:ascii="宋体" w:hAnsi="宋体" w:cs="宋体"/>
          <w:color w:val="000000" w:themeColor="text1"/>
          <w:sz w:val="24"/>
          <w:highlight w:val="none"/>
          <w14:textFill>
            <w14:solidFill>
              <w14:schemeClr w14:val="tx1"/>
            </w14:solidFill>
          </w14:textFill>
        </w:rPr>
        <w:t>日，每天上午00:00至12:00，下午12:00至23:59（北京时间，法定节假日除外）；</w:t>
      </w:r>
    </w:p>
    <w:p w14:paraId="69528B9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2.地点：焦作市公共资源交易中心网站；</w:t>
      </w:r>
    </w:p>
    <w:p w14:paraId="1EC245D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3.方式：本项目采用电子开评标（不见面开标），凡有意参加投标者，请登陆焦作市公共资源交易中心网站交易平台“交易主体登录”栏目下载采购文件；</w:t>
      </w:r>
    </w:p>
    <w:p w14:paraId="1DFD6FF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4.售价：0元。</w:t>
      </w:r>
    </w:p>
    <w:p w14:paraId="1EBC448C">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cs="宋体"/>
          <w:b/>
          <w:color w:val="000000" w:themeColor="text1"/>
          <w:kern w:val="0"/>
          <w:sz w:val="24"/>
          <w:highlight w:val="none"/>
          <w:lang w:val="en-US" w:eastAsia="zh-CN"/>
          <w14:textFill>
            <w14:solidFill>
              <w14:schemeClr w14:val="tx1"/>
            </w14:solidFill>
          </w14:textFill>
        </w:rPr>
        <w:t>响应文件提交</w:t>
      </w:r>
    </w:p>
    <w:p w14:paraId="379E7A1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1.截止时间：202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2月9</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分（北京时间）；</w:t>
      </w:r>
    </w:p>
    <w:p w14:paraId="55BE85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2.地点：加密电子投标文件须在投标截止时间前通过“焦作市公共资源交易中心（http://ggzy.jiaozuo.gov.cn/） ”网站-交易平台加密上传。</w:t>
      </w:r>
    </w:p>
    <w:p w14:paraId="09245FBE">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default" w:ascii="宋体" w:hAnsi="宋体" w:eastAsia="宋体" w:cs="宋体"/>
          <w:b/>
          <w:bCs/>
          <w:color w:val="000000" w:themeColor="text1"/>
          <w:kern w:val="0"/>
          <w:sz w:val="24"/>
          <w:highlight w:val="red"/>
          <w:lang w:val="en-US" w:eastAsia="zh-CN"/>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kern w:val="0"/>
          <w:sz w:val="24"/>
          <w:highlight w:val="none"/>
          <w:lang w:val="en-US" w:eastAsia="zh-CN"/>
          <w14:textFill>
            <w14:solidFill>
              <w14:schemeClr w14:val="tx1"/>
            </w14:solidFill>
          </w14:textFill>
        </w:rPr>
        <w:t>响应文件开启</w:t>
      </w:r>
    </w:p>
    <w:p w14:paraId="5379A78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1.时间：</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2月9</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08</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分（北京时间）</w:t>
      </w:r>
      <w:r>
        <w:rPr>
          <w:rFonts w:hint="eastAsia" w:ascii="宋体" w:hAnsi="宋体" w:cs="宋体"/>
          <w:color w:val="000000" w:themeColor="text1"/>
          <w:kern w:val="0"/>
          <w:sz w:val="24"/>
          <w:highlight w:val="none"/>
          <w14:textFill>
            <w14:solidFill>
              <w14:schemeClr w14:val="tx1"/>
            </w14:solidFill>
          </w14:textFill>
        </w:rPr>
        <w:t>；</w:t>
      </w:r>
    </w:p>
    <w:p w14:paraId="7D1DE0E1">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2.地点：博爱县公共资源交易中心</w:t>
      </w:r>
      <w:r>
        <w:rPr>
          <w:rFonts w:hint="eastAsia" w:ascii="宋体" w:hAnsi="宋体" w:cs="宋体"/>
          <w:color w:val="000000" w:themeColor="text1"/>
          <w:sz w:val="24"/>
          <w:highlight w:val="none"/>
          <w:shd w:val="clear" w:color="auto" w:fill="FFFFFF"/>
          <w14:textFill>
            <w14:solidFill>
              <w14:schemeClr w14:val="tx1"/>
            </w14:solidFill>
          </w14:textFill>
        </w:rPr>
        <w:t>二楼</w:t>
      </w:r>
      <w:r>
        <w:rPr>
          <w:rFonts w:hint="eastAsia" w:ascii="宋体" w:hAnsi="宋体" w:cs="宋体"/>
          <w:color w:val="000000" w:themeColor="text1"/>
          <w:kern w:val="0"/>
          <w:sz w:val="24"/>
          <w:highlight w:val="none"/>
          <w14:textFill>
            <w14:solidFill>
              <w14:schemeClr w14:val="tx1"/>
            </w14:solidFill>
          </w14:textFill>
        </w:rPr>
        <w:t>不见面开标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二</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室。</w:t>
      </w:r>
    </w:p>
    <w:p w14:paraId="7E48FFF6">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六、发布公告的媒介及</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cs="宋体"/>
          <w:b/>
          <w:bCs/>
          <w:color w:val="000000" w:themeColor="text1"/>
          <w:sz w:val="24"/>
          <w:highlight w:val="none"/>
          <w14:textFill>
            <w14:solidFill>
              <w14:schemeClr w14:val="tx1"/>
            </w14:solidFill>
          </w14:textFill>
        </w:rPr>
        <w:t>公告期限</w:t>
      </w:r>
    </w:p>
    <w:p w14:paraId="519073AE">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公告在《中国招标投标公共服务平台》、《焦作市公共资源交易中心网》、《博爱县公共资源交易中心网》http://ggzy.boai.gov.cn/上发布。</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 xml:space="preserve">公告期限为三个工作日。 </w:t>
      </w:r>
    </w:p>
    <w:p w14:paraId="2DB2C90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615CE831">
      <w:pPr>
        <w:keepNext w:val="0"/>
        <w:keepLines w:val="0"/>
        <w:pageBreakBefore w:val="0"/>
        <w:widowControl w:val="0"/>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000000" w:themeColor="text1"/>
          <w:spacing w:val="6"/>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1.本项目采用“远程不见面”的开标方式，潜在投标人可提前在焦作市交易中心官网首页---下载中心--下载《焦作市电子招投标系统操作手册》和《焦作</w:t>
      </w:r>
    </w:p>
    <w:p w14:paraId="3ED7042F">
      <w:pPr>
        <w:keepNext w:val="0"/>
        <w:keepLines w:val="0"/>
        <w:pageBreakBefore w:val="0"/>
        <w:widowControl w:val="0"/>
        <w:tabs>
          <w:tab w:val="left" w:pos="8820"/>
        </w:tabs>
        <w:kinsoku/>
        <w:wordWrap/>
        <w:overflowPunct/>
        <w:topLinePunct w:val="0"/>
        <w:autoSpaceDE/>
        <w:autoSpaceDN/>
        <w:bidi w:val="0"/>
        <w:adjustRightInd w:val="0"/>
        <w:snapToGrid w:val="0"/>
        <w:spacing w:line="440" w:lineRule="exac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市公共资源</w:t>
      </w:r>
      <w:r>
        <w:rPr>
          <w:rFonts w:hint="eastAsia" w:ascii="宋体" w:hAnsi="宋体" w:cs="宋体"/>
          <w:color w:val="000000" w:themeColor="text1"/>
          <w:sz w:val="24"/>
          <w:highlight w:val="none"/>
          <w14:textFill>
            <w14:solidFill>
              <w14:schemeClr w14:val="tx1"/>
            </w14:solidFill>
          </w14:textFill>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59C8557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7583A0A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55B617A1">
      <w:pPr>
        <w:keepNext w:val="0"/>
        <w:keepLines w:val="0"/>
        <w:pageBreakBefore w:val="0"/>
        <w:kinsoku/>
        <w:wordWrap/>
        <w:overflowPunct/>
        <w:topLinePunct w:val="0"/>
        <w:autoSpaceDN/>
        <w:bidi w:val="0"/>
        <w:adjustRightInd w:val="0"/>
        <w:snapToGrid w:val="0"/>
        <w:spacing w:line="440" w:lineRule="exact"/>
        <w:ind w:firstLine="482" w:firstLineChars="200"/>
        <w:textAlignment w:val="auto"/>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45B55EEB">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5A0738A2">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博爱县民政局</w:t>
      </w:r>
    </w:p>
    <w:p w14:paraId="621481D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  </w:t>
      </w:r>
      <w:r>
        <w:rPr>
          <w:rFonts w:hint="eastAsia" w:ascii="宋体" w:hAnsi="宋体" w:eastAsia="宋体" w:cs="宋体"/>
          <w:color w:val="000000" w:themeColor="text1"/>
          <w:sz w:val="24"/>
          <w:highlight w:val="none"/>
          <w:lang w:eastAsia="zh-CN"/>
          <w14:textFill>
            <w14:solidFill>
              <w14:schemeClr w14:val="tx1"/>
            </w14:solidFill>
          </w14:textFill>
        </w:rPr>
        <w:t>址：博爱县发展大道188号机关综合办公楼西配楼7楼</w:t>
      </w:r>
    </w:p>
    <w:p w14:paraId="50273F03">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李飞飞</w:t>
      </w:r>
    </w:p>
    <w:p w14:paraId="1D4AA198">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 xml:space="preserve"> 15639169600</w:t>
      </w:r>
    </w:p>
    <w:p w14:paraId="171F17CC">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1EE0B139">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河南众成工程管理有限公司</w:t>
      </w:r>
    </w:p>
    <w:p w14:paraId="2CFB8F75">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000000" w:themeColor="text1"/>
          <w:sz w:val="24"/>
          <w:highlight w:val="none"/>
          <w:lang w:eastAsia="zh-CN"/>
          <w14:textFill>
            <w14:solidFill>
              <w14:schemeClr w14:val="tx1"/>
            </w14:solidFill>
          </w14:textFill>
        </w:rPr>
        <w:t>焦作市解放区孟州路京水岸步行街</w:t>
      </w:r>
    </w:p>
    <w:p w14:paraId="49BB3460">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康姣</w:t>
      </w:r>
    </w:p>
    <w:p w14:paraId="2ECFF616">
      <w:pPr>
        <w:keepNext w:val="0"/>
        <w:keepLines w:val="0"/>
        <w:pageBreakBefore w:val="0"/>
        <w:kinsoku/>
        <w:wordWrap/>
        <w:overflowPunct/>
        <w:topLinePunct w:val="0"/>
        <w:autoSpaceDE w:val="0"/>
        <w:autoSpaceDN/>
        <w:bidi w:val="0"/>
        <w:adjustRightInd w:val="0"/>
        <w:snapToGrid w:val="0"/>
        <w:spacing w:line="4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15538963371</w:t>
      </w:r>
    </w:p>
    <w:p w14:paraId="4378BAD9">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3.项目联系方式</w:t>
      </w:r>
    </w:p>
    <w:p w14:paraId="407ABC8D">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rPr>
        <w:t>联系人：</w:t>
      </w:r>
      <w:r>
        <w:rPr>
          <w:rFonts w:hint="eastAsia" w:ascii="宋体" w:hAnsi="宋体" w:cs="宋体"/>
          <w:color w:val="auto"/>
          <w:sz w:val="24"/>
          <w:highlight w:val="none"/>
          <w:lang w:val="en-US" w:eastAsia="zh-CN"/>
        </w:rPr>
        <w:t xml:space="preserve"> 康姣</w:t>
      </w:r>
    </w:p>
    <w:p w14:paraId="6C582D07">
      <w:pPr>
        <w:keepNext w:val="0"/>
        <w:keepLines w:val="0"/>
        <w:pageBreakBefore w:val="0"/>
        <w:kinsoku/>
        <w:wordWrap/>
        <w:overflowPunct/>
        <w:topLinePunct w:val="0"/>
        <w:autoSpaceDN/>
        <w:bidi w:val="0"/>
        <w:adjustRightInd w:val="0"/>
        <w:snapToGrid w:val="0"/>
        <w:spacing w:line="44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rPr>
        <w:t>电  话：</w:t>
      </w:r>
      <w:r>
        <w:rPr>
          <w:rFonts w:hint="eastAsia" w:ascii="宋体" w:hAnsi="宋体" w:cs="宋体"/>
          <w:color w:val="auto"/>
          <w:sz w:val="24"/>
          <w:highlight w:val="none"/>
          <w:lang w:val="en-US" w:eastAsia="zh-CN"/>
        </w:rPr>
        <w:t>15538963371</w:t>
      </w:r>
    </w:p>
    <w:bookmarkEnd w:id="3"/>
    <w:p w14:paraId="561E2D5D">
      <w:pPr>
        <w:rPr>
          <w:rFonts w:hint="eastAsia"/>
          <w:b/>
          <w:bCs/>
          <w:color w:val="000000" w:themeColor="text1"/>
          <w:kern w:val="0"/>
          <w:sz w:val="28"/>
          <w:szCs w:val="28"/>
          <w:highlight w:val="none"/>
          <w14:textFill>
            <w14:solidFill>
              <w14:schemeClr w14:val="tx1"/>
            </w14:solidFill>
          </w14:textFill>
        </w:rPr>
      </w:pPr>
      <w:bookmarkStart w:id="5" w:name="_Toc28653"/>
      <w:r>
        <w:rPr>
          <w:rFonts w:hint="eastAsia"/>
          <w:b/>
          <w:bCs/>
          <w:color w:val="000000" w:themeColor="text1"/>
          <w:kern w:val="0"/>
          <w:sz w:val="28"/>
          <w:szCs w:val="28"/>
          <w:highlight w:val="none"/>
          <w14:textFill>
            <w14:solidFill>
              <w14:schemeClr w14:val="tx1"/>
            </w14:solidFill>
          </w14:textFill>
        </w:rPr>
        <w:br w:type="page"/>
      </w:r>
    </w:p>
    <w:p w14:paraId="54170A00">
      <w:pPr>
        <w:widowControl/>
        <w:spacing w:line="360" w:lineRule="auto"/>
        <w:jc w:val="center"/>
        <w:rPr>
          <w:b/>
          <w:bCs/>
          <w:color w:val="000000" w:themeColor="text1"/>
          <w:kern w:val="0"/>
          <w:sz w:val="28"/>
          <w:szCs w:val="28"/>
          <w:highlight w:val="none"/>
          <w14:textFill>
            <w14:solidFill>
              <w14:schemeClr w14:val="tx1"/>
            </w14:solidFill>
          </w14:textFill>
        </w:rPr>
      </w:pPr>
      <w:r>
        <w:rPr>
          <w:rFonts w:hint="eastAsia"/>
          <w:b/>
          <w:bCs/>
          <w:color w:val="000000" w:themeColor="text1"/>
          <w:kern w:val="0"/>
          <w:sz w:val="28"/>
          <w:szCs w:val="28"/>
          <w:highlight w:val="none"/>
          <w14:textFill>
            <w14:solidFill>
              <w14:schemeClr w14:val="tx1"/>
            </w14:solidFill>
          </w14:textFill>
        </w:rPr>
        <w:t>投标须知前附表</w:t>
      </w:r>
      <w:bookmarkEnd w:id="0"/>
      <w:bookmarkEnd w:id="1"/>
      <w:bookmarkEnd w:id="2"/>
      <w:bookmarkEnd w:id="5"/>
    </w:p>
    <w:tbl>
      <w:tblPr>
        <w:tblStyle w:val="2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6"/>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序号</w:t>
            </w:r>
          </w:p>
        </w:tc>
        <w:tc>
          <w:tcPr>
            <w:tcW w:w="8547" w:type="dxa"/>
          </w:tcPr>
          <w:p w14:paraId="57278606">
            <w:pPr>
              <w:pStyle w:val="76"/>
              <w:widowControl w:val="0"/>
              <w:pBdr>
                <w:bottom w:val="none" w:color="auto" w:sz="0" w:space="0"/>
              </w:pBdr>
              <w:spacing w:beforeAutospacing="0" w:afterAutospacing="0" w:line="360" w:lineRule="auto"/>
              <w:textAlignment w:val="auto"/>
              <w:rPr>
                <w:rFonts w:hint="eastAsia" w:ascii="宋体" w:eastAsia="宋体" w:cs="宋体"/>
                <w:color w:val="000000" w:themeColor="text1"/>
                <w:sz w:val="24"/>
                <w:szCs w:val="24"/>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732" w:type="dxa"/>
            <w:vAlign w:val="center"/>
          </w:tcPr>
          <w:p w14:paraId="11E10C34">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p>
        </w:tc>
        <w:tc>
          <w:tcPr>
            <w:tcW w:w="8547" w:type="dxa"/>
            <w:vAlign w:val="center"/>
          </w:tcPr>
          <w:p w14:paraId="019DE6BC">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项目名称：博爱县民政局中心敬老院食材采购项目</w:t>
            </w:r>
          </w:p>
          <w:p w14:paraId="1C3616F2">
            <w:pP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采购内容：</w:t>
            </w:r>
            <w:r>
              <w:rPr>
                <w:rFonts w:hint="eastAsia" w:ascii="宋体" w:hAnsi="宋体" w:cs="宋体"/>
                <w:color w:val="auto"/>
                <w:kern w:val="0"/>
                <w:sz w:val="24"/>
                <w:highlight w:val="none"/>
                <w:lang w:val="en-US" w:eastAsia="zh-CN"/>
              </w:rPr>
              <w:t>采购配送粮食加工类、肉类、禽蛋类、豆制品、蔬菜类、水果类、调料类、干杂类、油炸烤焙类及其他副食品等，根据实际需要情况提供采购配送服务，一年使用资金约为80万元。</w:t>
            </w:r>
          </w:p>
          <w:p w14:paraId="7A80A6A3">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质量要求：合格，符合国家通用食品质量标准和现行食品行业标准及相关食品卫生安全要求；能确保每日用餐的正常供应，并做到品种齐全，确保无责任事故、食品及卫生安全事故。</w:t>
            </w:r>
          </w:p>
          <w:p w14:paraId="07337397">
            <w:pPr>
              <w:adjustRightInd w:val="0"/>
              <w:snapToGrid w:val="0"/>
              <w:spacing w:line="460" w:lineRule="exact"/>
              <w:ind w:firstLine="240" w:firstLineChars="100"/>
              <w:rPr>
                <w:rFonts w:hint="default" w:ascii="宋体" w:cs="宋体"/>
                <w:bCs/>
                <w:color w:val="000000" w:themeColor="text1"/>
                <w:sz w:val="24"/>
                <w:highlight w:val="none"/>
                <w:lang w:val="en-US"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服务期限：自合同签订之日起一年。</w:t>
            </w:r>
          </w:p>
          <w:p w14:paraId="5BE6139D">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采购方式：竞争性谈判。</w:t>
            </w:r>
          </w:p>
          <w:p w14:paraId="248B4AE0">
            <w:pPr>
              <w:adjustRightInd w:val="0"/>
              <w:snapToGrid w:val="0"/>
              <w:spacing w:line="460" w:lineRule="exact"/>
              <w:ind w:firstLine="240" w:firstLineChars="100"/>
              <w:rPr>
                <w:rFonts w:hint="eastAsia" w:ascii="宋体" w:cs="宋体"/>
                <w:bCs/>
                <w:color w:val="000000" w:themeColor="text1"/>
                <w:sz w:val="24"/>
                <w:highlight w:val="none"/>
                <w:lang w:eastAsia="zh-CN"/>
                <w14:textFill>
                  <w14:solidFill>
                    <w14:schemeClr w14:val="tx1"/>
                  </w14:solidFill>
                </w14:textFill>
              </w:rPr>
            </w:pPr>
            <w:r>
              <w:rPr>
                <w:rFonts w:hint="eastAsia" w:ascii="宋体" w:cs="宋体"/>
                <w:bCs/>
                <w:color w:val="000000" w:themeColor="text1"/>
                <w:sz w:val="24"/>
                <w:highlight w:val="none"/>
                <w:lang w:eastAsia="zh-CN"/>
                <w14:textFill>
                  <w14:solidFill>
                    <w14:schemeClr w14:val="tx1"/>
                  </w14:solidFill>
                </w14:textFill>
              </w:rPr>
              <w:t>资格审查方式：资格后审。</w:t>
            </w:r>
          </w:p>
          <w:p w14:paraId="0EC428E1">
            <w:pPr>
              <w:adjustRightInd w:val="0"/>
              <w:snapToGrid w:val="0"/>
              <w:spacing w:line="460" w:lineRule="exact"/>
              <w:ind w:firstLine="240" w:firstLineChars="100"/>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cs="宋体"/>
                <w:bCs/>
                <w:color w:val="auto"/>
                <w:sz w:val="24"/>
                <w:highlight w:val="none"/>
                <w:lang w:eastAsia="zh-CN"/>
              </w:rPr>
              <w:t>付款方式：</w:t>
            </w:r>
            <w:r>
              <w:rPr>
                <w:rFonts w:hint="eastAsia" w:ascii="宋体" w:cs="宋体"/>
                <w:bCs/>
                <w:color w:val="auto"/>
                <w:sz w:val="24"/>
                <w:highlight w:val="none"/>
                <w:lang w:val="en-US" w:eastAsia="zh-CN"/>
              </w:rPr>
              <w:t>供应商每月根据采购人确认的验收单与订单结算一次（节假日顺延），由采购人结算上月应付的货款，双方确认结算无误后，供应商开具符合财务要求的增值税发票，采购人在收到发票后向供应商支付；供应商未提供正规发票采购人有权不支付采购款；因特殊原因采购人延迟支付的供应商不得因为费用支付不到位延迟供货或提供有差别的货物和服务。</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2</w:t>
            </w:r>
          </w:p>
        </w:tc>
        <w:tc>
          <w:tcPr>
            <w:tcW w:w="8547" w:type="dxa"/>
            <w:vAlign w:val="center"/>
          </w:tcPr>
          <w:p w14:paraId="7516C354">
            <w:pPr>
              <w:pStyle w:val="76"/>
              <w:widowControl w:val="0"/>
              <w:pBdr>
                <w:bottom w:val="none" w:color="auto" w:sz="0" w:space="0"/>
              </w:pBdr>
              <w:spacing w:beforeAutospacing="0" w:afterAutospacing="0" w:line="460" w:lineRule="exact"/>
              <w:ind w:firstLine="240" w:firstLineChars="100"/>
              <w:jc w:val="both"/>
              <w:textAlignment w:val="auto"/>
              <w:rPr>
                <w:rFonts w:hint="default" w:ascii="宋体" w:eastAsia="宋体" w:cs="宋体"/>
                <w:b w:val="0"/>
                <w:color w:val="000000" w:themeColor="text1"/>
                <w:sz w:val="24"/>
                <w:szCs w:val="24"/>
                <w:highlight w:val="none"/>
                <w:lang w:val="en-US" w:eastAsia="zh-CN"/>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资金来源：</w:t>
            </w:r>
            <w:r>
              <w:rPr>
                <w:rFonts w:hint="eastAsia" w:ascii="宋体" w:eastAsia="宋体" w:cs="宋体"/>
                <w:b w:val="0"/>
                <w:color w:val="000000" w:themeColor="text1"/>
                <w:sz w:val="24"/>
                <w:szCs w:val="24"/>
                <w:highlight w:val="none"/>
                <w:lang w:val="en-US" w:eastAsia="zh-CN"/>
                <w14:textFill>
                  <w14:solidFill>
                    <w14:schemeClr w14:val="tx1"/>
                  </w14:solidFill>
                </w14:textFill>
              </w:rPr>
              <w:t>自筹资金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3</w:t>
            </w:r>
          </w:p>
        </w:tc>
        <w:tc>
          <w:tcPr>
            <w:tcW w:w="8547" w:type="dxa"/>
            <w:vAlign w:val="center"/>
          </w:tcPr>
          <w:p w14:paraId="5F03F772">
            <w:pPr>
              <w:adjustRightInd w:val="0"/>
              <w:snapToGrid w:val="0"/>
              <w:spacing w:line="460" w:lineRule="exact"/>
              <w:ind w:firstLine="241"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获取采购文件时间：202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2 </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4 </w:t>
            </w:r>
            <w:r>
              <w:rPr>
                <w:rFonts w:hint="eastAsia" w:ascii="宋体" w:hAnsi="宋体" w:cs="宋体"/>
                <w:b/>
                <w:bCs/>
                <w:color w:val="000000" w:themeColor="text1"/>
                <w:sz w:val="24"/>
                <w:highlight w:val="none"/>
                <w14:textFill>
                  <w14:solidFill>
                    <w14:schemeClr w14:val="tx1"/>
                  </w14:solidFill>
                </w14:textFill>
              </w:rPr>
              <w:t>日至202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 2 </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u w:val="single"/>
                <w:lang w:val="en-US" w:eastAsia="zh-CN"/>
                <w14:textFill>
                  <w14:solidFill>
                    <w14:schemeClr w14:val="tx1"/>
                  </w14:solidFill>
                </w14:textFill>
              </w:rPr>
              <w:t xml:space="preserve">6 </w:t>
            </w:r>
            <w:r>
              <w:rPr>
                <w:rFonts w:hint="eastAsia" w:ascii="宋体" w:hAnsi="宋体" w:cs="宋体"/>
                <w:b/>
                <w:bCs/>
                <w:color w:val="000000" w:themeColor="text1"/>
                <w:sz w:val="24"/>
                <w:highlight w:val="none"/>
                <w14:textFill>
                  <w14:solidFill>
                    <w14:schemeClr w14:val="tx1"/>
                  </w14:solidFill>
                </w14:textFill>
              </w:rPr>
              <w:t>日（北京时间）；</w:t>
            </w:r>
            <w:r>
              <w:rPr>
                <w:rFonts w:hint="eastAsia" w:ascii="宋体" w:hAnsi="宋体" w:cs="宋体"/>
                <w:color w:val="000000" w:themeColor="text1"/>
                <w:sz w:val="24"/>
                <w:highlight w:val="none"/>
                <w14:textFill>
                  <w14:solidFill>
                    <w14:schemeClr w14:val="tx1"/>
                  </w14:solidFill>
                </w14:textFill>
              </w:rPr>
              <w:t> </w:t>
            </w:r>
          </w:p>
          <w:p w14:paraId="3638B425">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地点：焦作市公共资源交易中心网站会员系统  </w:t>
            </w:r>
          </w:p>
          <w:p w14:paraId="3863C037">
            <w:pPr>
              <w:adjustRightInd w:val="0"/>
              <w:snapToGrid w:val="0"/>
              <w:spacing w:line="460" w:lineRule="exact"/>
              <w:ind w:firstLine="240" w:firstLineChars="1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方式：凡有意参加投标者，请登录焦作市公共资源交易中心官网站进行网上下载谈判文件。</w:t>
            </w:r>
            <w:r>
              <w:rPr>
                <w:rFonts w:hint="eastAsia" w:ascii="宋体" w:hAnsi="宋体" w:cs="宋体"/>
                <w:b/>
                <w:bCs/>
                <w:color w:val="000000" w:themeColor="text1"/>
                <w:kern w:val="0"/>
                <w:sz w:val="24"/>
                <w:highlight w:val="none"/>
                <w14:textFill>
                  <w14:solidFill>
                    <w14:schemeClr w14:val="tx1"/>
                  </w14:solidFill>
                </w14:textFill>
              </w:rPr>
              <w:t>未通过会员系统完成下载文件，响应性文件</w:t>
            </w:r>
            <w:r>
              <w:rPr>
                <w:rFonts w:hint="eastAsia" w:ascii="宋体" w:hAnsi="宋体" w:cs="宋体"/>
                <w:b/>
                <w:bCs/>
                <w:color w:val="000000" w:themeColor="text1"/>
                <w:sz w:val="24"/>
                <w:highlight w:val="none"/>
                <w14:textFill>
                  <w14:solidFill>
                    <w14:schemeClr w14:val="tx1"/>
                  </w14:solidFill>
                </w14:textFill>
              </w:rPr>
              <w:t>视为无效</w:t>
            </w:r>
            <w:r>
              <w:rPr>
                <w:rFonts w:hint="eastAsia" w:ascii="宋体" w:hAnsi="宋体" w:cs="宋体"/>
                <w:color w:val="000000" w:themeColor="text1"/>
                <w:sz w:val="24"/>
                <w:highlight w:val="none"/>
                <w14:textFill>
                  <w14:solidFill>
                    <w14:schemeClr w14:val="tx1"/>
                  </w14:solidFill>
                </w14:textFill>
              </w:rPr>
              <w:t>（联系电话：0391-3568920，QQ：232850725、361532918（群））。</w:t>
            </w:r>
          </w:p>
          <w:p w14:paraId="65D1D079">
            <w:pPr>
              <w:adjustRightInd w:val="0"/>
              <w:snapToGrid w:val="0"/>
              <w:spacing w:line="460" w:lineRule="exact"/>
              <w:ind w:firstLine="240" w:firstLineChars="1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4</w:t>
            </w:r>
          </w:p>
        </w:tc>
        <w:tc>
          <w:tcPr>
            <w:tcW w:w="8547" w:type="dxa"/>
            <w:vAlign w:val="center"/>
          </w:tcPr>
          <w:p w14:paraId="3AC1CED5">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u w:val="singl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响应文件份数：加密的电子响应文件壹份（.jztf 格式在会员系统指定位置上传）。</w:t>
            </w:r>
          </w:p>
          <w:p w14:paraId="38288CFB">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投标保证金：无。</w:t>
            </w:r>
          </w:p>
          <w:p w14:paraId="06B55D97">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履约保证金：无。</w:t>
            </w:r>
          </w:p>
          <w:p w14:paraId="76D42C9D">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质</w:t>
            </w:r>
            <w:r>
              <w:rPr>
                <w:rFonts w:hint="eastAsia" w:ascii="宋体" w:eastAsia="宋体" w:cs="宋体"/>
                <w:b w:val="0"/>
                <w:bCs/>
                <w:color w:val="000000" w:themeColor="text1"/>
                <w:sz w:val="24"/>
                <w:szCs w:val="24"/>
                <w:highlight w:val="none"/>
                <w:lang w:eastAsia="zh-CN"/>
                <w14:textFill>
                  <w14:solidFill>
                    <w14:schemeClr w14:val="tx1"/>
                  </w14:solidFill>
                </w14:textFill>
              </w:rPr>
              <w:t>量保证</w:t>
            </w:r>
            <w:r>
              <w:rPr>
                <w:rFonts w:hint="eastAsia" w:ascii="宋体" w:eastAsia="宋体" w:cs="宋体"/>
                <w:b w:val="0"/>
                <w:bCs/>
                <w:color w:val="000000" w:themeColor="text1"/>
                <w:sz w:val="24"/>
                <w:szCs w:val="24"/>
                <w:highlight w:val="none"/>
                <w14:textFill>
                  <w14:solidFill>
                    <w14:schemeClr w14:val="tx1"/>
                  </w14:solidFill>
                </w14:textFill>
              </w:rPr>
              <w:t>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6"/>
              <w:widowControl w:val="0"/>
              <w:pBdr>
                <w:bottom w:val="none" w:color="auto" w:sz="0" w:space="0"/>
              </w:pBdr>
              <w:spacing w:beforeAutospacing="0" w:afterAutospacing="0" w:line="360" w:lineRule="auto"/>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bCs/>
                <w:color w:val="000000" w:themeColor="text1"/>
                <w:sz w:val="24"/>
                <w:szCs w:val="24"/>
                <w:highlight w:val="none"/>
                <w14:textFill>
                  <w14:solidFill>
                    <w14:schemeClr w14:val="tx1"/>
                  </w14:solidFill>
                </w14:textFill>
              </w:rPr>
              <w:t>5</w:t>
            </w:r>
          </w:p>
        </w:tc>
        <w:tc>
          <w:tcPr>
            <w:tcW w:w="8547" w:type="dxa"/>
            <w:vAlign w:val="center"/>
          </w:tcPr>
          <w:p w14:paraId="2920DF5E">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响应文件递交截止时间：</w:t>
            </w:r>
            <w:r>
              <w:rPr>
                <w:rFonts w:hint="eastAsia" w:ascii="宋体" w:eastAsia="宋体" w:cs="宋体"/>
                <w:bCs/>
                <w:color w:val="000000" w:themeColor="text1"/>
                <w:sz w:val="24"/>
                <w:szCs w:val="24"/>
                <w:highlight w:val="none"/>
                <w14:textFill>
                  <w14:solidFill>
                    <w14:schemeClr w14:val="tx1"/>
                  </w14:solidFill>
                </w14:textFill>
              </w:rPr>
              <w:t>202</w:t>
            </w:r>
            <w:r>
              <w:rPr>
                <w:rFonts w:hint="eastAsia" w:ascii="宋体" w:eastAsia="宋体" w:cs="宋体"/>
                <w:bCs/>
                <w:color w:val="000000" w:themeColor="text1"/>
                <w:sz w:val="24"/>
                <w:szCs w:val="24"/>
                <w:highlight w:val="none"/>
                <w:lang w:val="en-US" w:eastAsia="zh-CN"/>
                <w14:textFill>
                  <w14:solidFill>
                    <w14:schemeClr w14:val="tx1"/>
                  </w14:solidFill>
                </w14:textFill>
              </w:rPr>
              <w:t>6</w:t>
            </w:r>
            <w:r>
              <w:rPr>
                <w:rFonts w:hint="eastAsia" w:ascii="宋体" w:eastAsia="宋体" w:cs="宋体"/>
                <w:bCs/>
                <w:color w:val="000000" w:themeColor="text1"/>
                <w:sz w:val="24"/>
                <w:szCs w:val="24"/>
                <w:highlight w:val="none"/>
                <w14:textFill>
                  <w14:solidFill>
                    <w14:schemeClr w14:val="tx1"/>
                  </w14:solidFill>
                </w14:textFill>
              </w:rPr>
              <w:t>年</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2 </w:t>
            </w:r>
            <w:r>
              <w:rPr>
                <w:rFonts w:hint="eastAsia" w:ascii="宋体" w:eastAsia="宋体" w:cs="宋体"/>
                <w:bCs/>
                <w:color w:val="000000" w:themeColor="text1"/>
                <w:sz w:val="24"/>
                <w:szCs w:val="24"/>
                <w:highlight w:val="none"/>
                <w14:textFill>
                  <w14:solidFill>
                    <w14:schemeClr w14:val="tx1"/>
                  </w14:solidFill>
                </w14:textFill>
              </w:rPr>
              <w:t>月</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9 </w:t>
            </w:r>
            <w:r>
              <w:rPr>
                <w:rFonts w:hint="eastAsia" w:ascii="宋体" w:eastAsia="宋体" w:cs="宋体"/>
                <w:bCs/>
                <w:color w:val="000000" w:themeColor="text1"/>
                <w:sz w:val="24"/>
                <w:szCs w:val="24"/>
                <w:highlight w:val="none"/>
                <w14:textFill>
                  <w14:solidFill>
                    <w14:schemeClr w14:val="tx1"/>
                  </w14:solidFill>
                </w14:textFill>
              </w:rPr>
              <w:t>日</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 08</w:t>
            </w:r>
            <w:r>
              <w:rPr>
                <w:rFonts w:hint="eastAsia" w:ascii="宋体" w:eastAsia="宋体" w:cs="宋体"/>
                <w:bCs/>
                <w:color w:val="000000" w:themeColor="text1"/>
                <w:sz w:val="24"/>
                <w:szCs w:val="24"/>
                <w:highlight w:val="none"/>
                <w14:textFill>
                  <w14:solidFill>
                    <w14:schemeClr w14:val="tx1"/>
                  </w14:solidFill>
                </w14:textFill>
              </w:rPr>
              <w:t>时</w:t>
            </w:r>
            <w:r>
              <w:rPr>
                <w:rFonts w:hint="eastAsia" w:ascii="宋体" w:eastAsia="宋体" w:cs="宋体"/>
                <w:bCs/>
                <w:color w:val="000000" w:themeColor="text1"/>
                <w:sz w:val="24"/>
                <w:szCs w:val="24"/>
                <w:highlight w:val="none"/>
                <w:u w:val="single"/>
                <w:lang w:val="en-US" w:eastAsia="zh-CN"/>
                <w14:textFill>
                  <w14:solidFill>
                    <w14:schemeClr w14:val="tx1"/>
                  </w14:solidFill>
                </w14:textFill>
              </w:rPr>
              <w:t xml:space="preserve">30 </w:t>
            </w:r>
            <w:r>
              <w:rPr>
                <w:rFonts w:hint="eastAsia" w:ascii="宋体" w:eastAsia="宋体" w:cs="宋体"/>
                <w:bCs/>
                <w:color w:val="000000" w:themeColor="text1"/>
                <w:sz w:val="24"/>
                <w:szCs w:val="24"/>
                <w:highlight w:val="none"/>
                <w14:textFill>
                  <w14:solidFill>
                    <w14:schemeClr w14:val="tx1"/>
                  </w14:solidFill>
                </w14:textFill>
              </w:rPr>
              <w:t>分（北京时间）；</w:t>
            </w:r>
            <w:r>
              <w:rPr>
                <w:rFonts w:hint="eastAsia" w:ascii="宋体" w:eastAsia="宋体" w:cs="宋体"/>
                <w:color w:val="000000" w:themeColor="text1"/>
                <w:sz w:val="24"/>
                <w:highlight w:val="none"/>
                <w14:textFill>
                  <w14:solidFill>
                    <w14:schemeClr w14:val="tx1"/>
                  </w14:solidFill>
                </w14:textFill>
              </w:rPr>
              <w:t> </w:t>
            </w:r>
          </w:p>
          <w:p w14:paraId="6D25E725">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bCs/>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6</w:t>
            </w:r>
          </w:p>
        </w:tc>
        <w:tc>
          <w:tcPr>
            <w:tcW w:w="8547" w:type="dxa"/>
            <w:vAlign w:val="center"/>
          </w:tcPr>
          <w:p w14:paraId="372E2281">
            <w:pPr>
              <w:widowControl/>
              <w:spacing w:line="460" w:lineRule="exact"/>
              <w:ind w:firstLine="240" w:firstLineChars="1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7</w:t>
            </w:r>
          </w:p>
        </w:tc>
        <w:tc>
          <w:tcPr>
            <w:tcW w:w="8547" w:type="dxa"/>
            <w:vAlign w:val="center"/>
          </w:tcPr>
          <w:p w14:paraId="0C97BA8D">
            <w:pPr>
              <w:autoSpaceDE w:val="0"/>
              <w:autoSpaceDN w:val="0"/>
              <w:adjustRightInd w:val="0"/>
              <w:spacing w:line="460" w:lineRule="exact"/>
              <w:ind w:firstLine="240" w:firstLineChars="100"/>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开标时间：同</w:t>
            </w:r>
            <w:r>
              <w:rPr>
                <w:rFonts w:hint="eastAsia" w:ascii="宋体" w:hAnsi="宋体" w:cs="宋体"/>
                <w:color w:val="000000" w:themeColor="text1"/>
                <w:sz w:val="24"/>
                <w:highlight w:val="none"/>
                <w14:textFill>
                  <w14:solidFill>
                    <w14:schemeClr w14:val="tx1"/>
                  </w14:solidFill>
                </w14:textFill>
              </w:rPr>
              <w:t>响应文件递交截止时间</w:t>
            </w:r>
            <w:r>
              <w:rPr>
                <w:rFonts w:hint="eastAsia" w:ascii="宋体" w:hAnsi="宋体" w:cs="宋体"/>
                <w:bCs/>
                <w:color w:val="000000" w:themeColor="text1"/>
                <w:kern w:val="0"/>
                <w:sz w:val="24"/>
                <w:highlight w:val="none"/>
                <w14:textFill>
                  <w14:solidFill>
                    <w14:schemeClr w14:val="tx1"/>
                  </w14:solidFill>
                </w14:textFill>
              </w:rPr>
              <w:t>。供应商应当登录远程开标大厅，凭制作响应性文件所用的企业 CA 密匙在线签到、解密文件等，解密时间为投标截止时后30分钟内。</w:t>
            </w:r>
          </w:p>
          <w:p w14:paraId="33DC7563">
            <w:pPr>
              <w:autoSpaceDE w:val="0"/>
              <w:autoSpaceDN w:val="0"/>
              <w:adjustRightInd w:val="0"/>
              <w:spacing w:line="460" w:lineRule="exact"/>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不见面开标地点：博爱县公共资源交易中心第</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u w:val="single"/>
                <w:lang w:val="en-US" w:eastAsia="zh-CN"/>
                <w14:textFill>
                  <w14:solidFill>
                    <w14:schemeClr w14:val="tx1"/>
                  </w14:solidFill>
                </w14:textFill>
              </w:rPr>
              <w:t>二</w:t>
            </w:r>
            <w:r>
              <w:rPr>
                <w:rFonts w:hint="eastAsia" w:ascii="宋体" w:hAnsi="宋体" w:cs="宋体"/>
                <w:b/>
                <w:color w:val="000000" w:themeColor="text1"/>
                <w:kern w:val="0"/>
                <w:sz w:val="24"/>
                <w:highlight w:val="none"/>
                <w:u w:val="single"/>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8</w:t>
            </w:r>
          </w:p>
        </w:tc>
        <w:tc>
          <w:tcPr>
            <w:tcW w:w="8547" w:type="dxa"/>
            <w:vAlign w:val="center"/>
          </w:tcPr>
          <w:p w14:paraId="19AD7CD7">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递交响应性文件方式：</w:t>
            </w:r>
          </w:p>
          <w:p w14:paraId="2F9B1029">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本项目采用“远程不见面”开标方式，远程开标大厅网址为</w:t>
            </w:r>
            <w:r>
              <w:rPr>
                <w:rFonts w:hint="eastAsia" w:ascii="宋体" w:hAnsi="宋体" w:cs="宋体"/>
                <w:bCs/>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bCs/>
                <w:color w:val="000000" w:themeColor="text1"/>
                <w:kern w:val="0"/>
                <w:sz w:val="24"/>
                <w:highlight w:val="none"/>
                <w14:textFill>
                  <w14:solidFill>
                    <w14:schemeClr w14:val="tx1"/>
                  </w14:solidFill>
                </w14:textFill>
              </w:rPr>
              <w:t xml:space="preserve">。供应商不需到开标现场参加开标会议，不需提交原件资料等。 </w:t>
            </w:r>
          </w:p>
          <w:p w14:paraId="6AC7B66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1.电子响应性文件的递交</w:t>
            </w:r>
          </w:p>
          <w:p w14:paraId="0AAC9E01">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1.1 各供应商应在投标截止时间前上传加密的电子响应性文件</w:t>
            </w:r>
          </w:p>
          <w:p w14:paraId="1B363C18">
            <w:pPr>
              <w:widowControl/>
              <w:spacing w:line="460" w:lineRule="exact"/>
              <w:ind w:firstLine="240" w:firstLineChars="100"/>
              <w:jc w:val="left"/>
              <w:rPr>
                <w:rFonts w:hint="eastAsia"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（.jztf 格式）到会员系统的指定位置。上传时必须得到电脑“上传成功”的确认回复。请供应商在上传时认真检查上传响应性文件是否完整、正确。</w:t>
            </w:r>
          </w:p>
          <w:p w14:paraId="0AAC333F">
            <w:pPr>
              <w:widowControl/>
              <w:spacing w:line="460" w:lineRule="exact"/>
              <w:ind w:firstLine="240" w:firstLineChars="100"/>
              <w:jc w:val="left"/>
              <w:rPr>
                <w:rFonts w:hint="eastAsia" w:ascii="宋体" w:hAnsi="宋体" w:cs="宋体"/>
                <w:color w:val="000000" w:themeColor="text1"/>
                <w:kern w:val="0"/>
                <w:sz w:val="24"/>
                <w:szCs w:val="21"/>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9</w:t>
            </w:r>
          </w:p>
        </w:tc>
        <w:tc>
          <w:tcPr>
            <w:tcW w:w="8547" w:type="dxa"/>
            <w:vAlign w:val="center"/>
          </w:tcPr>
          <w:p w14:paraId="7ED0C809">
            <w:pPr>
              <w:widowControl/>
              <w:rPr>
                <w:rFonts w:hint="eastAsia"/>
                <w:b/>
                <w:bCs/>
                <w:color w:val="auto"/>
                <w:spacing w:val="-1"/>
                <w:sz w:val="24"/>
                <w:szCs w:val="24"/>
                <w:lang w:val="en-US"/>
              </w:rPr>
            </w:pPr>
            <w:r>
              <w:rPr>
                <w:rFonts w:hint="eastAsia" w:ascii="宋体" w:hAnsi="宋体" w:cs="宋体"/>
                <w:b/>
                <w:bCs w:val="0"/>
                <w:color w:val="auto"/>
                <w:kern w:val="0"/>
                <w:sz w:val="24"/>
                <w:highlight w:val="none"/>
              </w:rPr>
              <w:t>采购预算控制金额</w:t>
            </w:r>
            <w:r>
              <w:rPr>
                <w:rFonts w:hint="eastAsia"/>
                <w:b/>
                <w:bCs w:val="0"/>
                <w:color w:val="auto"/>
                <w:spacing w:val="-1"/>
                <w:sz w:val="24"/>
                <w:szCs w:val="24"/>
                <w:lang w:val="en-US" w:eastAsia="zh-CN"/>
              </w:rPr>
              <w:t>：</w:t>
            </w:r>
            <w:r>
              <w:rPr>
                <w:rFonts w:hint="eastAsia"/>
                <w:b/>
                <w:bCs/>
                <w:color w:val="auto"/>
                <w:spacing w:val="-1"/>
                <w:sz w:val="24"/>
                <w:szCs w:val="24"/>
                <w:lang w:val="en-US"/>
              </w:rPr>
              <w:t>博爱县三家最大商超均价平均值的100%</w:t>
            </w:r>
          </w:p>
          <w:p w14:paraId="0602F68E">
            <w:pPr>
              <w:widowControl/>
              <w:spacing w:line="460" w:lineRule="exact"/>
              <w:jc w:val="left"/>
              <w:rPr>
                <w:rFonts w:hint="eastAsia" w:ascii="宋体" w:hAnsi="宋体" w:cs="宋体"/>
                <w:b/>
                <w:color w:val="auto"/>
                <w:kern w:val="0"/>
                <w:sz w:val="24"/>
                <w:szCs w:val="24"/>
                <w:highlight w:val="none"/>
              </w:rPr>
            </w:pPr>
            <w:r>
              <w:rPr>
                <w:b/>
                <w:bCs/>
                <w:color w:val="auto"/>
                <w:spacing w:val="-1"/>
                <w:sz w:val="24"/>
                <w:szCs w:val="24"/>
                <w:lang w:val="en-US"/>
              </w:rPr>
              <w:t>投标</w:t>
            </w:r>
            <w:r>
              <w:rPr>
                <w:rFonts w:hint="eastAsia"/>
                <w:b/>
                <w:bCs/>
                <w:color w:val="auto"/>
                <w:spacing w:val="-1"/>
                <w:sz w:val="24"/>
                <w:szCs w:val="24"/>
                <w:lang w:val="en-US"/>
              </w:rPr>
              <w:t>报价</w:t>
            </w:r>
            <w:r>
              <w:rPr>
                <w:rFonts w:hint="eastAsia"/>
                <w:b/>
                <w:bCs/>
                <w:color w:val="auto"/>
                <w:spacing w:val="-1"/>
                <w:sz w:val="24"/>
                <w:szCs w:val="24"/>
                <w:lang w:val="en-US" w:eastAsia="zh-CN"/>
              </w:rPr>
              <w:t>（%）</w:t>
            </w:r>
            <w:r>
              <w:rPr>
                <w:b/>
                <w:bCs/>
                <w:color w:val="auto"/>
                <w:spacing w:val="-1"/>
                <w:sz w:val="24"/>
                <w:szCs w:val="24"/>
                <w:lang w:val="en-US"/>
              </w:rPr>
              <w:t>＝1-折扣率。</w:t>
            </w:r>
            <w:r>
              <w:rPr>
                <w:rFonts w:hint="eastAsia"/>
                <w:b/>
                <w:bCs/>
                <w:color w:val="auto"/>
                <w:spacing w:val="-1"/>
                <w:sz w:val="24"/>
                <w:szCs w:val="24"/>
                <w:lang w:val="en-US"/>
              </w:rPr>
              <w:t xml:space="preserve"> </w:t>
            </w:r>
          </w:p>
          <w:p w14:paraId="539C491A">
            <w:pPr>
              <w:widowControl/>
              <w:rPr>
                <w:b/>
                <w:bCs/>
                <w:color w:val="auto"/>
                <w:spacing w:val="-1"/>
                <w:sz w:val="24"/>
                <w:szCs w:val="24"/>
                <w:lang w:val="en-US"/>
              </w:rPr>
            </w:pPr>
            <w:r>
              <w:rPr>
                <w:rFonts w:hint="eastAsia"/>
                <w:b/>
                <w:bCs/>
                <w:color w:val="auto"/>
                <w:spacing w:val="-1"/>
                <w:sz w:val="24"/>
                <w:szCs w:val="24"/>
                <w:lang w:val="en-US"/>
              </w:rPr>
              <w:t>注：折扣率是指价格减让与原价的百分比，折扣率=（原件-现价）/原价*</w:t>
            </w:r>
            <w:r>
              <w:rPr>
                <w:b/>
                <w:bCs/>
                <w:color w:val="auto"/>
                <w:spacing w:val="-1"/>
                <w:sz w:val="24"/>
                <w:szCs w:val="24"/>
                <w:lang w:val="en-US"/>
              </w:rPr>
              <w:t>100%</w:t>
            </w:r>
            <w:r>
              <w:rPr>
                <w:rFonts w:hint="eastAsia"/>
                <w:b/>
                <w:bCs/>
                <w:color w:val="auto"/>
                <w:spacing w:val="-1"/>
                <w:sz w:val="24"/>
                <w:szCs w:val="24"/>
                <w:lang w:val="en-US"/>
              </w:rPr>
              <w:t>。</w:t>
            </w:r>
          </w:p>
          <w:p w14:paraId="3C9FE1BA">
            <w:pPr>
              <w:widowControl/>
              <w:spacing w:line="46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auto"/>
                <w:kern w:val="0"/>
                <w:sz w:val="24"/>
                <w:highlight w:val="none"/>
              </w:rPr>
              <w:t>供应商的投标报价高于采购预算控制金额的视为无效报价，其投标予以拒绝；当成交人的投标价高于控制价的95%时，该成交人的成交价按控制价的95%执行。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32" w:type="dxa"/>
            <w:vAlign w:val="center"/>
          </w:tcPr>
          <w:p w14:paraId="0486FCE4">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10</w:t>
            </w:r>
          </w:p>
        </w:tc>
        <w:tc>
          <w:tcPr>
            <w:tcW w:w="8547" w:type="dxa"/>
            <w:vAlign w:val="center"/>
          </w:tcPr>
          <w:p w14:paraId="49A070BF">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sz w:val="24"/>
                <w:szCs w:val="24"/>
                <w:highlight w:val="none"/>
                <w14:textFill>
                  <w14:solidFill>
                    <w14:schemeClr w14:val="tx1"/>
                  </w14:solidFill>
                </w14:textFill>
              </w:rPr>
            </w:pPr>
            <w:r>
              <w:rPr>
                <w:rFonts w:hint="eastAsia" w:ascii="宋体" w:eastAsia="宋体" w:cs="宋体"/>
                <w:b w:val="0"/>
                <w:color w:val="000000" w:themeColor="text1"/>
                <w:sz w:val="24"/>
                <w:szCs w:val="24"/>
                <w:highlight w:val="none"/>
                <w14:textFill>
                  <w14:solidFill>
                    <w14:schemeClr w14:val="tx1"/>
                  </w14:solidFill>
                </w14:textFill>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trPr>
        <w:tc>
          <w:tcPr>
            <w:tcW w:w="732" w:type="dxa"/>
            <w:vAlign w:val="center"/>
          </w:tcPr>
          <w:p w14:paraId="751D2CB6">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11</w:t>
            </w:r>
          </w:p>
        </w:tc>
        <w:tc>
          <w:tcPr>
            <w:tcW w:w="8547" w:type="dxa"/>
            <w:vAlign w:val="center"/>
          </w:tcPr>
          <w:p w14:paraId="7B49308F">
            <w:pPr>
              <w:widowControl/>
              <w:spacing w:line="460" w:lineRule="exact"/>
              <w:ind w:firstLine="240" w:firstLineChars="100"/>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1.采购人：博爱县民政局 </w:t>
            </w:r>
          </w:p>
          <w:p w14:paraId="41D8D443">
            <w:pPr>
              <w:widowControl/>
              <w:spacing w:line="460" w:lineRule="exact"/>
              <w:ind w:firstLine="240" w:firstLineChars="100"/>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联系人：李飞飞 </w:t>
            </w:r>
          </w:p>
          <w:p w14:paraId="511FB7DD">
            <w:pPr>
              <w:widowControl/>
              <w:spacing w:line="460" w:lineRule="exact"/>
              <w:ind w:firstLine="240" w:firstLineChars="100"/>
              <w:jc w:val="left"/>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联系电话：15639169600</w:t>
            </w:r>
          </w:p>
          <w:p w14:paraId="53F59CAA">
            <w:pPr>
              <w:widowControl/>
              <w:spacing w:line="460" w:lineRule="exact"/>
              <w:ind w:firstLine="240" w:firstLineChars="100"/>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联系地址：博</w:t>
            </w:r>
            <w:r>
              <w:rPr>
                <w:rFonts w:hint="eastAsia" w:ascii="宋体" w:hAnsi="宋体" w:eastAsia="宋体" w:cs="宋体"/>
                <w:color w:val="000000" w:themeColor="text1"/>
                <w:sz w:val="24"/>
                <w:highlight w:val="none"/>
                <w:lang w:eastAsia="zh-CN"/>
                <w14:textFill>
                  <w14:solidFill>
                    <w14:schemeClr w14:val="tx1"/>
                  </w14:solidFill>
                </w14:textFill>
              </w:rPr>
              <w:t>爱县发展大道188号机关综合办公楼西配楼7楼</w:t>
            </w:r>
            <w:r>
              <w:rPr>
                <w:rFonts w:hint="eastAsia" w:ascii="宋体" w:hAnsi="宋体" w:cs="宋体"/>
                <w:color w:val="000000" w:themeColor="text1"/>
                <w:sz w:val="24"/>
                <w:highlight w:val="none"/>
                <w:lang w:val="en-US" w:eastAsia="zh-CN"/>
                <w14:textFill>
                  <w14:solidFill>
                    <w14:schemeClr w14:val="tx1"/>
                  </w14:solidFill>
                </w14:textFill>
              </w:rPr>
              <w:t xml:space="preserve"> </w:t>
            </w:r>
          </w:p>
          <w:p w14:paraId="360A197D">
            <w:pPr>
              <w:widowControl/>
              <w:spacing w:line="460" w:lineRule="exact"/>
              <w:ind w:firstLine="240" w:firstLineChars="1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w:t>
            </w:r>
            <w:r>
              <w:rPr>
                <w:rFonts w:hint="eastAsia" w:ascii="宋体" w:hAnsi="宋体" w:cs="宋体"/>
                <w:color w:val="000000" w:themeColor="text1"/>
                <w:sz w:val="24"/>
                <w:highlight w:val="none"/>
                <w:lang w:eastAsia="zh-CN"/>
                <w14:textFill>
                  <w14:solidFill>
                    <w14:schemeClr w14:val="tx1"/>
                  </w14:solidFill>
                </w14:textFill>
              </w:rPr>
              <w:t>河南众成工程管理有限公司</w:t>
            </w:r>
          </w:p>
          <w:p w14:paraId="3C80A109">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康姣</w:t>
            </w:r>
            <w:r>
              <w:rPr>
                <w:rFonts w:hint="eastAsia" w:ascii="宋体" w:hAnsi="宋体" w:cs="宋体"/>
                <w:color w:val="000000" w:themeColor="text1"/>
                <w:sz w:val="24"/>
                <w:highlight w:val="none"/>
                <w14:textFill>
                  <w14:solidFill>
                    <w14:schemeClr w14:val="tx1"/>
                  </w14:solidFill>
                </w14:textFill>
              </w:rPr>
              <w:t>   </w:t>
            </w:r>
          </w:p>
          <w:p w14:paraId="2DAE9AD5">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val="en-US" w:eastAsia="zh-CN"/>
                <w14:textFill>
                  <w14:solidFill>
                    <w14:schemeClr w14:val="tx1"/>
                  </w14:solidFill>
                </w14:textFill>
              </w:rPr>
              <w:t>15538963371</w:t>
            </w:r>
            <w:r>
              <w:rPr>
                <w:rFonts w:hint="eastAsia" w:ascii="宋体" w:hAnsi="宋体" w:cs="宋体"/>
                <w:color w:val="000000" w:themeColor="text1"/>
                <w:sz w:val="24"/>
                <w:highlight w:val="none"/>
                <w14:textFill>
                  <w14:solidFill>
                    <w14:schemeClr w14:val="tx1"/>
                  </w14:solidFill>
                </w14:textFill>
              </w:rPr>
              <w:t xml:space="preserve">  </w:t>
            </w:r>
          </w:p>
          <w:p w14:paraId="46B9CBBC">
            <w:pPr>
              <w:widowControl/>
              <w:spacing w:line="460" w:lineRule="exact"/>
              <w:ind w:firstLine="240" w:firstLineChars="1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焦作市解放区孟州路京水岸步行街</w:t>
            </w: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2" w:type="dxa"/>
            <w:vAlign w:val="center"/>
          </w:tcPr>
          <w:p w14:paraId="02979291">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12</w:t>
            </w:r>
          </w:p>
        </w:tc>
        <w:tc>
          <w:tcPr>
            <w:tcW w:w="8547" w:type="dxa"/>
            <w:vAlign w:val="center"/>
          </w:tcPr>
          <w:p w14:paraId="54D91270">
            <w:pPr>
              <w:pStyle w:val="76"/>
              <w:widowControl w:val="0"/>
              <w:pBdr>
                <w:bottom w:val="none" w:color="auto" w:sz="0" w:space="0"/>
              </w:pBdr>
              <w:spacing w:beforeAutospacing="0" w:afterAutospacing="0" w:line="460" w:lineRule="exact"/>
              <w:ind w:firstLine="240"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b w:val="0"/>
                <w:color w:val="000000" w:themeColor="text1"/>
                <w:kern w:val="2"/>
                <w:sz w:val="24"/>
                <w:szCs w:val="24"/>
                <w:highlight w:val="none"/>
                <w14:textFill>
                  <w14:solidFill>
                    <w14:schemeClr w14:val="tx1"/>
                  </w14:solidFill>
                </w14:textFill>
              </w:rPr>
              <w:t>代理服务费：参照豫招协[2023]002号《河南省招标代理服务收费指导意见》中的标准</w:t>
            </w:r>
            <w:r>
              <w:rPr>
                <w:rFonts w:hint="eastAsia" w:ascii="宋体" w:eastAsia="宋体" w:cs="宋体"/>
                <w:b w:val="0"/>
                <w:color w:val="000000" w:themeColor="text1"/>
                <w:kern w:val="2"/>
                <w:sz w:val="24"/>
                <w:szCs w:val="24"/>
                <w:highlight w:val="none"/>
                <w:lang w:eastAsia="zh-CN"/>
                <w14:textFill>
                  <w14:solidFill>
                    <w14:schemeClr w14:val="tx1"/>
                  </w14:solidFill>
                </w14:textFill>
              </w:rPr>
              <w:t>，</w:t>
            </w:r>
            <w:r>
              <w:rPr>
                <w:rFonts w:hint="eastAsia" w:ascii="宋体" w:eastAsia="宋体" w:cs="宋体"/>
                <w:b w:val="0"/>
                <w:color w:val="000000" w:themeColor="text1"/>
                <w:kern w:val="2"/>
                <w:sz w:val="24"/>
                <w:szCs w:val="24"/>
                <w:highlight w:val="none"/>
                <w14:textFill>
                  <w14:solidFill>
                    <w14:schemeClr w14:val="tx1"/>
                  </w14:solidFill>
                </w14:textFill>
              </w:rPr>
              <w:t>由成交人在领取成交通知书前，向代理机构足额缴纳。</w:t>
            </w:r>
          </w:p>
        </w:tc>
      </w:tr>
      <w:tr w14:paraId="01E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29878A45">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kern w:val="2"/>
                <w:sz w:val="24"/>
                <w:szCs w:val="24"/>
                <w:highlight w:val="none"/>
                <w14:textFill>
                  <w14:solidFill>
                    <w14:schemeClr w14:val="tx1"/>
                  </w14:solidFill>
                </w14:textFill>
              </w:rPr>
            </w:pPr>
            <w:bookmarkStart w:id="6" w:name="_Toc20290"/>
            <w:bookmarkStart w:id="7" w:name="_Toc533668868"/>
            <w:r>
              <w:rPr>
                <w:rFonts w:hint="eastAsia" w:ascii="宋体" w:eastAsia="宋体" w:cs="宋体"/>
                <w:b w:val="0"/>
                <w:color w:val="000000" w:themeColor="text1"/>
                <w:sz w:val="21"/>
                <w:szCs w:val="21"/>
                <w:highlight w:val="none"/>
                <w14:textFill>
                  <w14:solidFill>
                    <w14:schemeClr w14:val="tx1"/>
                  </w14:solidFill>
                </w14:textFill>
              </w:rPr>
              <w:t>13</w:t>
            </w:r>
          </w:p>
        </w:tc>
        <w:tc>
          <w:tcPr>
            <w:tcW w:w="8547" w:type="dxa"/>
            <w:vAlign w:val="center"/>
          </w:tcPr>
          <w:p w14:paraId="30003B61">
            <w:pPr>
              <w:pStyle w:val="76"/>
              <w:widowControl w:val="0"/>
              <w:pBdr>
                <w:bottom w:val="none" w:color="auto" w:sz="0" w:space="0"/>
              </w:pBdr>
              <w:spacing w:beforeAutospacing="0" w:afterAutospacing="0" w:line="460" w:lineRule="exact"/>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auto"/>
                <w:kern w:val="2"/>
                <w:sz w:val="24"/>
                <w:szCs w:val="24"/>
                <w:lang w:val="en-US" w:eastAsia="zh-CN" w:bidi="ar-SA"/>
              </w:rPr>
              <w:t>本项目采购货物在质保期内属于货物质量问题的，成交供应商应免费</w:t>
            </w:r>
            <w:r>
              <w:rPr>
                <w:rFonts w:hint="eastAsia" w:ascii="宋体" w:eastAsia="宋体" w:cs="宋体"/>
                <w:b/>
                <w:bCs/>
                <w:color w:val="auto"/>
                <w:kern w:val="2"/>
                <w:sz w:val="24"/>
                <w:szCs w:val="24"/>
                <w:lang w:val="en-US" w:eastAsia="zh-CN" w:bidi="ar-SA"/>
              </w:rPr>
              <w:t>更换</w:t>
            </w:r>
            <w:r>
              <w:rPr>
                <w:rFonts w:hint="eastAsia" w:ascii="宋体" w:hAnsi="宋体" w:eastAsia="宋体" w:cs="宋体"/>
                <w:b/>
                <w:bCs/>
                <w:color w:val="auto"/>
                <w:kern w:val="2"/>
                <w:sz w:val="24"/>
                <w:szCs w:val="24"/>
                <w:lang w:val="en-US" w:eastAsia="zh-CN" w:bidi="ar-SA"/>
              </w:rPr>
              <w:t>，供应商须针对质保期内的质量问题提供承诺函。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32" w:type="dxa"/>
            <w:vAlign w:val="center"/>
          </w:tcPr>
          <w:p w14:paraId="482270FA">
            <w:pPr>
              <w:pStyle w:val="76"/>
              <w:widowControl w:val="0"/>
              <w:pBdr>
                <w:bottom w:val="none" w:color="auto" w:sz="0" w:space="0"/>
              </w:pBdr>
              <w:spacing w:beforeAutospacing="0" w:afterAutospacing="0" w:line="360" w:lineRule="auto"/>
              <w:textAlignment w:val="auto"/>
              <w:rPr>
                <w:rFonts w:hint="default" w:ascii="宋体" w:eastAsia="宋体" w:cs="宋体"/>
                <w:b w:val="0"/>
                <w:color w:val="000000" w:themeColor="text1"/>
                <w:sz w:val="21"/>
                <w:szCs w:val="21"/>
                <w:highlight w:val="none"/>
                <w:lang w:val="en-US" w:eastAsia="zh-CN"/>
                <w14:textFill>
                  <w14:solidFill>
                    <w14:schemeClr w14:val="tx1"/>
                  </w14:solidFill>
                </w14:textFill>
              </w:rPr>
            </w:pPr>
            <w:r>
              <w:rPr>
                <w:rFonts w:hint="eastAsia" w:ascii="宋体" w:eastAsia="宋体" w:cs="宋体"/>
                <w:b w:val="0"/>
                <w:color w:val="000000" w:themeColor="text1"/>
                <w:sz w:val="21"/>
                <w:szCs w:val="21"/>
                <w:highlight w:val="none"/>
                <w:lang w:val="en-US" w:eastAsia="zh-CN"/>
                <w14:textFill>
                  <w14:solidFill>
                    <w14:schemeClr w14:val="tx1"/>
                  </w14:solidFill>
                </w14:textFill>
              </w:rPr>
              <w:t>14</w:t>
            </w:r>
          </w:p>
        </w:tc>
        <w:tc>
          <w:tcPr>
            <w:tcW w:w="8547" w:type="dxa"/>
            <w:vAlign w:val="center"/>
          </w:tcPr>
          <w:p w14:paraId="02B087D3">
            <w:pPr>
              <w:pStyle w:val="76"/>
              <w:widowControl w:val="0"/>
              <w:pBdr>
                <w:bottom w:val="none" w:color="auto" w:sz="0" w:space="0"/>
              </w:pBdr>
              <w:spacing w:beforeAutospacing="0" w:afterAutospacing="0" w:line="420" w:lineRule="exact"/>
              <w:jc w:val="both"/>
              <w:rPr>
                <w:rFonts w:ascii="宋体" w:eastAsia="宋体" w:cs="宋体"/>
                <w:b w:val="0"/>
                <w:color w:val="auto"/>
                <w:kern w:val="2"/>
                <w:sz w:val="24"/>
                <w:szCs w:val="24"/>
              </w:rPr>
            </w:pPr>
            <w:r>
              <w:rPr>
                <w:rFonts w:hint="eastAsia" w:ascii="宋体" w:eastAsia="宋体" w:cs="宋体"/>
                <w:b w:val="0"/>
                <w:color w:val="auto"/>
                <w:kern w:val="2"/>
                <w:sz w:val="24"/>
                <w:szCs w:val="24"/>
              </w:rPr>
              <w:t>本项目落实政府采购政策：</w:t>
            </w:r>
          </w:p>
          <w:p w14:paraId="036A12D7">
            <w:pPr>
              <w:numPr>
                <w:ilvl w:val="0"/>
                <w:numId w:val="0"/>
              </w:numPr>
              <w:spacing w:line="420" w:lineRule="exact"/>
              <w:rPr>
                <w:rFonts w:ascii="宋体" w:hAnsi="宋体" w:cs="宋体"/>
                <w:color w:val="auto"/>
                <w:sz w:val="24"/>
              </w:rPr>
            </w:pPr>
            <w:r>
              <w:rPr>
                <w:rFonts w:ascii="宋体" w:hAnsi="宋体" w:cs="宋体"/>
                <w:color w:val="auto"/>
                <w:kern w:val="2"/>
                <w:sz w:val="24"/>
                <w:lang w:val="en-US" w:eastAsia="zh-CN" w:bidi="ar-SA"/>
              </w:rPr>
              <w:t>1、</w:t>
            </w:r>
            <w:r>
              <w:rPr>
                <w:rFonts w:hint="eastAsia" w:ascii="宋体" w:hAnsi="宋体" w:cs="宋体"/>
                <w:color w:val="auto"/>
                <w:sz w:val="24"/>
              </w:rPr>
              <w:t>小微企业应当提供《中小企业声明函》（见格式）</w:t>
            </w:r>
          </w:p>
          <w:p w14:paraId="39B3B6C7">
            <w:pPr>
              <w:spacing w:line="420" w:lineRule="exact"/>
              <w:rPr>
                <w:rFonts w:ascii="宋体" w:hAnsi="宋体" w:cs="宋体"/>
                <w:color w:val="auto"/>
                <w:sz w:val="24"/>
              </w:rPr>
            </w:pPr>
            <w:r>
              <w:rPr>
                <w:rFonts w:hint="eastAsia" w:ascii="宋体" w:hAnsi="宋体" w:cs="宋体"/>
                <w:color w:val="auto"/>
                <w:sz w:val="24"/>
              </w:rPr>
              <w:t>2、按照《政府采购促进中小企业发展管理办法》有关规定，中小企业的标准为：</w:t>
            </w:r>
          </w:p>
          <w:p w14:paraId="33E7D69F">
            <w:pPr>
              <w:spacing w:line="420" w:lineRule="exact"/>
              <w:rPr>
                <w:rFonts w:ascii="宋体" w:hAnsi="宋体" w:cs="宋体"/>
                <w:color w:val="auto"/>
                <w:sz w:val="24"/>
              </w:rPr>
            </w:pPr>
            <w:r>
              <w:rPr>
                <w:rFonts w:hint="eastAsia" w:ascii="宋体" w:hAnsi="宋体" w:cs="宋体"/>
                <w:color w:val="auto"/>
                <w:sz w:val="24"/>
              </w:rPr>
              <w:t>2.1提供本企业制造的货物、承担的工程或者服务，或者提供其他中小企业制造的货物，不包括提供或使用大型企业注册商标的货物；</w:t>
            </w:r>
          </w:p>
          <w:p w14:paraId="3A311EBD">
            <w:pPr>
              <w:spacing w:line="420" w:lineRule="exact"/>
              <w:rPr>
                <w:rFonts w:ascii="宋体" w:hAnsi="宋体" w:cs="宋体"/>
                <w:color w:val="auto"/>
                <w:sz w:val="24"/>
              </w:rPr>
            </w:pPr>
            <w:r>
              <w:rPr>
                <w:rFonts w:hint="eastAsia" w:ascii="宋体" w:hAnsi="宋体" w:cs="宋体"/>
                <w:color w:val="auto"/>
                <w:sz w:val="24"/>
              </w:rPr>
              <w:t>2.2本规定所称中小企业划分标准，是指国务院有关部门根据企业从业人员、营业收入、资产总额等指标制定的中小企业划型标准（工信部联企业﹝2011﹞300号）；</w:t>
            </w:r>
          </w:p>
          <w:p w14:paraId="3817EE7F">
            <w:pPr>
              <w:spacing w:line="420" w:lineRule="exact"/>
              <w:rPr>
                <w:rFonts w:ascii="宋体" w:hAnsi="宋体" w:cs="宋体"/>
                <w:color w:val="auto"/>
                <w:sz w:val="24"/>
              </w:rPr>
            </w:pPr>
            <w:r>
              <w:rPr>
                <w:rFonts w:hint="eastAsia" w:ascii="宋体" w:hAnsi="宋体" w:cs="宋体"/>
                <w:color w:val="auto"/>
                <w:sz w:val="24"/>
              </w:rPr>
              <w:t>2.3小型、微型企业提供有中型企业制造的货物的，视同为中型企业；小型、微型、中型企业提供有大型企业制造的货物的，视同为大型企业。</w:t>
            </w:r>
          </w:p>
          <w:p w14:paraId="507954A6">
            <w:pPr>
              <w:spacing w:line="420" w:lineRule="exact"/>
              <w:rPr>
                <w:rFonts w:ascii="宋体" w:hAnsi="宋体" w:cs="宋体"/>
                <w:color w:val="auto"/>
                <w:sz w:val="24"/>
              </w:rPr>
            </w:pPr>
            <w:r>
              <w:rPr>
                <w:rFonts w:hint="eastAsia" w:ascii="宋体" w:hAnsi="宋体" w:cs="宋体"/>
                <w:color w:val="auto"/>
                <w:sz w:val="24"/>
              </w:rPr>
              <w:t>3、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16B3525">
            <w:pPr>
              <w:pStyle w:val="76"/>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 w:val="0"/>
                <w:color w:val="000000" w:themeColor="text1"/>
                <w:kern w:val="2"/>
                <w:sz w:val="24"/>
                <w:szCs w:val="24"/>
                <w:highlight w:val="none"/>
                <w14:textFill>
                  <w14:solidFill>
                    <w14:schemeClr w14:val="tx1"/>
                  </w14:solidFill>
                </w14:textFill>
              </w:rPr>
            </w:pPr>
            <w:r>
              <w:rPr>
                <w:rFonts w:hint="eastAsia" w:ascii="宋体" w:eastAsia="宋体" w:cs="宋体"/>
                <w:color w:val="auto"/>
                <w:sz w:val="24"/>
                <w:szCs w:val="24"/>
              </w:rPr>
              <w:t>备注：</w:t>
            </w:r>
            <w:r>
              <w:rPr>
                <w:rFonts w:ascii="宋体" w:eastAsia="宋体" w:cs="宋体"/>
                <w:bCs/>
                <w:color w:val="auto"/>
                <w:spacing w:val="-2"/>
                <w:sz w:val="24"/>
                <w:szCs w:val="24"/>
              </w:rPr>
              <w:t>本项目全额面向中小企业采购，供应商需提供中小企业声明</w:t>
            </w:r>
            <w:r>
              <w:rPr>
                <w:rFonts w:ascii="宋体" w:eastAsia="宋体" w:cs="宋体"/>
                <w:bCs/>
                <w:color w:val="auto"/>
                <w:spacing w:val="-3"/>
                <w:sz w:val="24"/>
                <w:szCs w:val="24"/>
              </w:rPr>
              <w:t>函</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2" w:type="dxa"/>
            <w:vAlign w:val="center"/>
          </w:tcPr>
          <w:p w14:paraId="5F70DAB3">
            <w:pPr>
              <w:pStyle w:val="76"/>
              <w:widowControl w:val="0"/>
              <w:pBdr>
                <w:bottom w:val="none" w:color="auto" w:sz="0" w:space="0"/>
              </w:pBdr>
              <w:spacing w:beforeAutospacing="0" w:afterAutospacing="0" w:line="360" w:lineRule="auto"/>
              <w:textAlignment w:val="auto"/>
              <w:rPr>
                <w:rFonts w:hint="eastAsia" w:ascii="宋体" w:eastAsia="宋体" w:cs="宋体"/>
                <w:b w:val="0"/>
                <w:color w:val="000000" w:themeColor="text1"/>
                <w:sz w:val="21"/>
                <w:szCs w:val="21"/>
                <w:highlight w:val="none"/>
                <w:lang w:eastAsia="zh-CN"/>
                <w14:textFill>
                  <w14:solidFill>
                    <w14:schemeClr w14:val="tx1"/>
                  </w14:solidFill>
                </w14:textFill>
              </w:rPr>
            </w:pPr>
            <w:r>
              <w:rPr>
                <w:rFonts w:hint="eastAsia" w:ascii="宋体" w:eastAsia="宋体" w:cs="宋体"/>
                <w:b w:val="0"/>
                <w:color w:val="000000" w:themeColor="text1"/>
                <w:sz w:val="21"/>
                <w:szCs w:val="21"/>
                <w:highlight w:val="none"/>
                <w14:textFill>
                  <w14:solidFill>
                    <w14:schemeClr w14:val="tx1"/>
                  </w14:solidFill>
                </w14:textFill>
              </w:rPr>
              <w:t>1</w:t>
            </w:r>
            <w:r>
              <w:rPr>
                <w:rFonts w:hint="eastAsia" w:ascii="宋体" w:eastAsia="宋体" w:cs="宋体"/>
                <w:b w:val="0"/>
                <w:color w:val="000000" w:themeColor="text1"/>
                <w:sz w:val="21"/>
                <w:szCs w:val="21"/>
                <w:highlight w:val="none"/>
                <w:lang w:val="en-US" w:eastAsia="zh-CN"/>
                <w14:textFill>
                  <w14:solidFill>
                    <w14:schemeClr w14:val="tx1"/>
                  </w14:solidFill>
                </w14:textFill>
              </w:rPr>
              <w:t>5</w:t>
            </w:r>
          </w:p>
        </w:tc>
        <w:tc>
          <w:tcPr>
            <w:tcW w:w="8547" w:type="dxa"/>
            <w:vAlign w:val="center"/>
          </w:tcPr>
          <w:p w14:paraId="0782E431">
            <w:pPr>
              <w:pStyle w:val="76"/>
              <w:widowControl w:val="0"/>
              <w:pBdr>
                <w:bottom w:val="none" w:color="auto" w:sz="0" w:space="0"/>
              </w:pBdr>
              <w:spacing w:beforeAutospacing="0" w:afterAutospacing="0" w:line="460" w:lineRule="exact"/>
              <w:ind w:firstLine="241" w:firstLineChars="100"/>
              <w:jc w:val="both"/>
              <w:textAlignment w:val="auto"/>
              <w:rPr>
                <w:rFonts w:hint="eastAsia" w:ascii="宋体" w:eastAsia="宋体" w:cs="宋体"/>
                <w:bCs/>
                <w:color w:val="000000" w:themeColor="text1"/>
                <w:kern w:val="2"/>
                <w:sz w:val="24"/>
                <w:szCs w:val="24"/>
                <w:highlight w:val="none"/>
                <w14:textFill>
                  <w14:solidFill>
                    <w14:schemeClr w14:val="tx1"/>
                  </w14:solidFill>
                </w14:textFill>
              </w:rPr>
            </w:pPr>
            <w:r>
              <w:rPr>
                <w:rFonts w:hint="eastAsia" w:ascii="宋体" w:eastAsia="宋体" w:cs="宋体"/>
                <w:bCs/>
                <w:color w:val="000000" w:themeColor="text1"/>
                <w:kern w:val="2"/>
                <w:sz w:val="24"/>
                <w:szCs w:val="24"/>
                <w:highlight w:val="none"/>
                <w14:textFill>
                  <w14:solidFill>
                    <w14:schemeClr w14:val="tx1"/>
                  </w14:solidFill>
                </w14:textFill>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6"/>
              <w:widowControl w:val="0"/>
              <w:pBdr>
                <w:bottom w:val="none" w:color="auto" w:sz="0" w:space="0"/>
              </w:pBdr>
              <w:spacing w:beforeAutospacing="0" w:afterAutospacing="0" w:line="400" w:lineRule="exact"/>
              <w:textAlignment w:val="auto"/>
              <w:rPr>
                <w:rFonts w:hint="eastAsia" w:ascii="宋体" w:eastAsia="宋体" w:cs="宋体"/>
                <w:b w:val="0"/>
                <w:color w:val="000000" w:themeColor="text1"/>
                <w:sz w:val="21"/>
                <w:szCs w:val="21"/>
                <w:highlight w:val="none"/>
                <w14:textFill>
                  <w14:solidFill>
                    <w14:schemeClr w14:val="tx1"/>
                  </w14:solidFill>
                </w14:textFill>
              </w:rPr>
            </w:pPr>
            <w:r>
              <w:rPr>
                <w:rFonts w:hint="eastAsia" w:ascii="宋体" w:eastAsia="宋体" w:cs="宋体"/>
                <w:color w:val="000000" w:themeColor="text1"/>
                <w:sz w:val="24"/>
                <w:szCs w:val="24"/>
                <w:highlight w:val="none"/>
                <w14:textFill>
                  <w14:solidFill>
                    <w14:schemeClr w14:val="tx1"/>
                  </w14:solidFill>
                </w14:textFill>
              </w:rPr>
              <w:t>特别提醒</w:t>
            </w:r>
          </w:p>
        </w:tc>
        <w:tc>
          <w:tcPr>
            <w:tcW w:w="8547" w:type="dxa"/>
            <w:vAlign w:val="center"/>
          </w:tcPr>
          <w:p w14:paraId="3CFD4455">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1、因电子化评标需要，谈判小组要求供应商进行二轮报价以及作出澄清、说明或补正均采用网上方式进行。</w:t>
            </w:r>
          </w:p>
          <w:p w14:paraId="5B334F23">
            <w:pPr>
              <w:spacing w:line="480" w:lineRule="exact"/>
              <w:ind w:firstLine="241" w:firstLineChars="100"/>
              <w:rPr>
                <w:rFonts w:hint="eastAsia"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10C676E5">
      <w:pPr>
        <w:pStyle w:val="2"/>
        <w:spacing w:before="0" w:after="0" w:line="360" w:lineRule="auto"/>
        <w:ind w:firstLine="723" w:firstLineChars="200"/>
        <w:jc w:val="center"/>
        <w:rPr>
          <w:rFonts w:hint="eastAsia" w:ascii="宋体" w:hAnsi="宋体"/>
          <w:color w:val="000000" w:themeColor="text1"/>
          <w:kern w:val="0"/>
          <w:sz w:val="48"/>
          <w:szCs w:val="48"/>
          <w:highlight w:val="none"/>
          <w14:textFill>
            <w14:solidFill>
              <w14:schemeClr w14:val="tx1"/>
            </w14:solidFill>
          </w14:textFill>
        </w:rPr>
      </w:pPr>
      <w:r>
        <w:rPr>
          <w:rFonts w:hint="eastAsia" w:ascii="宋体" w:hAnsi="宋体"/>
          <w:color w:val="000000" w:themeColor="text1"/>
          <w:kern w:val="0"/>
          <w:sz w:val="36"/>
          <w:szCs w:val="36"/>
          <w:highlight w:val="none"/>
          <w14:textFill>
            <w14:solidFill>
              <w14:schemeClr w14:val="tx1"/>
            </w14:solidFill>
          </w14:textFill>
        </w:rPr>
        <w:br w:type="page"/>
      </w:r>
      <w:bookmarkStart w:id="8" w:name="_Toc7945"/>
    </w:p>
    <w:p w14:paraId="28CBED29">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9" w:name="_Toc16130"/>
      <w:r>
        <w:rPr>
          <w:rFonts w:hint="eastAsia"/>
          <w:color w:val="000000" w:themeColor="text1"/>
          <w:kern w:val="0"/>
          <w:sz w:val="28"/>
          <w:szCs w:val="28"/>
          <w:highlight w:val="none"/>
          <w14:textFill>
            <w14:solidFill>
              <w14:schemeClr w14:val="tx1"/>
            </w14:solidFill>
          </w14:textFill>
        </w:rPr>
        <w:t>第一部分 采购项目相关内容及要求</w:t>
      </w:r>
      <w:bookmarkEnd w:id="6"/>
      <w:bookmarkEnd w:id="7"/>
      <w:bookmarkEnd w:id="8"/>
      <w:bookmarkEnd w:id="9"/>
    </w:p>
    <w:p w14:paraId="3255F9B0">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1.</w:t>
      </w:r>
      <w:r>
        <w:rPr>
          <w:rFonts w:hint="eastAsia" w:ascii="宋体" w:hAnsi="宋体"/>
          <w:color w:val="000000" w:themeColor="text1"/>
          <w:kern w:val="0"/>
          <w:sz w:val="24"/>
          <w:highlight w:val="none"/>
          <w14:textFill>
            <w14:solidFill>
              <w14:schemeClr w14:val="tx1"/>
            </w14:solidFill>
          </w14:textFill>
        </w:rPr>
        <w:t>项目基本情况</w:t>
      </w:r>
    </w:p>
    <w:p w14:paraId="2758ACD5">
      <w:pPr>
        <w:widowControl/>
        <w:spacing w:line="500" w:lineRule="exact"/>
        <w:ind w:firstLine="480" w:firstLineChars="200"/>
        <w:rPr>
          <w:rFonts w:hint="eastAsia" w:ascii="宋体" w:hAnsi="宋体" w:eastAsia="宋体"/>
          <w:color w:val="000000" w:themeColor="text1"/>
          <w:kern w:val="0"/>
          <w:sz w:val="24"/>
          <w:highlight w:val="none"/>
          <w:u w:val="singl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 购 人：</w:t>
      </w:r>
      <w:r>
        <w:rPr>
          <w:rFonts w:hint="eastAsia" w:ascii="宋体" w:hAnsi="宋体" w:cs="宋体"/>
          <w:color w:val="000000" w:themeColor="text1"/>
          <w:sz w:val="24"/>
          <w:highlight w:val="none"/>
          <w:lang w:eastAsia="zh-CN"/>
          <w14:textFill>
            <w14:solidFill>
              <w14:schemeClr w14:val="tx1"/>
            </w14:solidFill>
          </w14:textFill>
        </w:rPr>
        <w:t>博爱县民政局</w:t>
      </w:r>
    </w:p>
    <w:p w14:paraId="0FEB1D55">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采购代理机构：</w:t>
      </w:r>
      <w:r>
        <w:rPr>
          <w:rFonts w:hint="eastAsia" w:ascii="宋体" w:hAnsi="宋体"/>
          <w:color w:val="000000" w:themeColor="text1"/>
          <w:kern w:val="0"/>
          <w:sz w:val="24"/>
          <w:highlight w:val="none"/>
          <w:lang w:eastAsia="zh-CN"/>
          <w14:textFill>
            <w14:solidFill>
              <w14:schemeClr w14:val="tx1"/>
            </w14:solidFill>
          </w14:textFill>
        </w:rPr>
        <w:t>河南众成工程管理有限公司</w:t>
      </w:r>
    </w:p>
    <w:p w14:paraId="49D0F0F6">
      <w:pPr>
        <w:widowControl/>
        <w:spacing w:line="500" w:lineRule="exact"/>
        <w:ind w:firstLine="480" w:firstLineChars="200"/>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项目名称: </w:t>
      </w:r>
      <w:r>
        <w:rPr>
          <w:rFonts w:hint="eastAsia" w:ascii="宋体" w:hAnsi="宋体"/>
          <w:color w:val="000000" w:themeColor="text1"/>
          <w:kern w:val="0"/>
          <w:sz w:val="24"/>
          <w:highlight w:val="none"/>
          <w:lang w:eastAsia="zh-CN"/>
          <w14:textFill>
            <w14:solidFill>
              <w14:schemeClr w14:val="tx1"/>
            </w14:solidFill>
          </w14:textFill>
        </w:rPr>
        <w:t>博爱县民政局中心敬老院食材采购项目</w:t>
      </w:r>
    </w:p>
    <w:p w14:paraId="26173092">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资金来源：</w:t>
      </w:r>
      <w:r>
        <w:rPr>
          <w:rFonts w:hint="eastAsia" w:ascii="宋体" w:hAnsi="宋体"/>
          <w:color w:val="000000" w:themeColor="text1"/>
          <w:kern w:val="0"/>
          <w:sz w:val="24"/>
          <w:highlight w:val="none"/>
          <w:lang w:val="en-US" w:eastAsia="zh-CN"/>
          <w14:textFill>
            <w14:solidFill>
              <w14:schemeClr w14:val="tx1"/>
            </w14:solidFill>
          </w14:textFill>
        </w:rPr>
        <w:t>自筹资金</w:t>
      </w:r>
    </w:p>
    <w:p w14:paraId="62AF1BBE">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2.</w:t>
      </w:r>
      <w:r>
        <w:rPr>
          <w:rFonts w:hint="eastAsia" w:ascii="宋体" w:hAnsi="宋体"/>
          <w:color w:val="000000" w:themeColor="text1"/>
          <w:kern w:val="0"/>
          <w:sz w:val="24"/>
          <w:highlight w:val="none"/>
          <w14:textFill>
            <w14:solidFill>
              <w14:schemeClr w14:val="tx1"/>
            </w14:solidFill>
          </w14:textFill>
        </w:rPr>
        <w:t>供应商资格要求</w:t>
      </w:r>
    </w:p>
    <w:p w14:paraId="72C82588">
      <w:pPr>
        <w:widowControl/>
        <w:spacing w:line="500" w:lineRule="exact"/>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2.1符合《中华人民共和国政府采购法》第二十二条之规定；</w:t>
      </w:r>
    </w:p>
    <w:p w14:paraId="0354C6A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14:textFill>
            <w14:solidFill>
              <w14:schemeClr w14:val="tx1"/>
            </w14:solidFill>
          </w14:textFill>
        </w:rPr>
        <w:t>2.2</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落实政府采购政策需满足的资格要求：促进政府强制采购节能产品及环境标志产品优先采购，该项目全额面向中小企业采购，需要提供中小企业声明函</w:t>
      </w:r>
      <w:r>
        <w:rPr>
          <w:rFonts w:hint="eastAsia" w:ascii="宋体" w:hAnsi="宋体" w:cs="Times New Roman"/>
          <w:color w:val="000000" w:themeColor="text1"/>
          <w:kern w:val="0"/>
          <w:sz w:val="24"/>
          <w:highlight w:val="none"/>
          <w:lang w:val="en-US" w:eastAsia="zh-CN"/>
          <w14:textFill>
            <w14:solidFill>
              <w14:schemeClr w14:val="tx1"/>
            </w14:solidFill>
          </w14:textFill>
        </w:rPr>
        <w:t>；</w:t>
      </w:r>
    </w:p>
    <w:p w14:paraId="1EB5A212">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3.本项目的特定资格要求：</w:t>
      </w:r>
    </w:p>
    <w:p w14:paraId="560B5874">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3.1供应商须具有</w:t>
      </w:r>
      <w:r>
        <w:rPr>
          <w:rFonts w:hint="eastAsia"/>
          <w:sz w:val="24"/>
          <w:szCs w:val="24"/>
          <w:highlight w:val="none"/>
          <w:lang w:val="en-US" w:eastAsia="zh-CN"/>
        </w:rPr>
        <w:t>有效的</w:t>
      </w:r>
      <w:r>
        <w:rPr>
          <w:rFonts w:hint="eastAsia" w:ascii="宋体" w:hAnsi="宋体" w:eastAsia="宋体" w:cs="Times New Roman"/>
          <w:color w:val="000000" w:themeColor="text1"/>
          <w:kern w:val="0"/>
          <w:sz w:val="24"/>
          <w:highlight w:val="none"/>
          <w14:textFill>
            <w14:solidFill>
              <w14:schemeClr w14:val="tx1"/>
            </w14:solidFill>
          </w14:textFill>
        </w:rPr>
        <w:t>营业执照，并具有</w:t>
      </w: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主管部门颁发的在有效期内的《食品经营许可证》</w:t>
      </w:r>
      <w:r>
        <w:rPr>
          <w:rFonts w:hint="eastAsia" w:ascii="宋体" w:hAnsi="宋体" w:eastAsia="宋体" w:cs="Times New Roman"/>
          <w:color w:val="000000" w:themeColor="text1"/>
          <w:kern w:val="0"/>
          <w:sz w:val="24"/>
          <w:highlight w:val="none"/>
          <w14:textFill>
            <w14:solidFill>
              <w14:schemeClr w14:val="tx1"/>
            </w14:solidFill>
          </w14:textFill>
        </w:rPr>
        <w:t>。</w:t>
      </w:r>
    </w:p>
    <w:p w14:paraId="73932E6E">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信誉要求：</w:t>
      </w:r>
      <w:r>
        <w:rPr>
          <w:rFonts w:hint="eastAsia" w:ascii="宋体" w:hAnsi="宋体" w:eastAsia="宋体" w:cs="Times New Roman"/>
          <w:color w:val="000000" w:themeColor="text1"/>
          <w:kern w:val="0"/>
          <w:sz w:val="24"/>
          <w:highlight w:val="none"/>
          <w:lang w:val="zh-CN" w:eastAsia="zh-CN"/>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备注：信誉要求由采购代理机构开标当日提供查询结果。)</w:t>
      </w:r>
      <w:r>
        <w:rPr>
          <w:rFonts w:hint="eastAsia" w:ascii="宋体" w:hAnsi="宋体" w:eastAsia="宋体" w:cs="Times New Roman"/>
          <w:color w:val="000000" w:themeColor="text1"/>
          <w:kern w:val="0"/>
          <w:sz w:val="24"/>
          <w:highlight w:val="none"/>
          <w14:textFill>
            <w14:solidFill>
              <w14:schemeClr w14:val="tx1"/>
            </w14:solidFill>
          </w14:textFill>
        </w:rPr>
        <w:t>；</w:t>
      </w:r>
    </w:p>
    <w:p w14:paraId="3AF564D9">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highlight w:val="none"/>
          <w14:textFill>
            <w14:solidFill>
              <w14:schemeClr w14:val="tx1"/>
            </w14:solidFill>
          </w14:textFill>
        </w:rPr>
        <w:t>本项目不接受联合体投标；</w:t>
      </w:r>
    </w:p>
    <w:p w14:paraId="39869EC0">
      <w:pPr>
        <w:widowControl/>
        <w:spacing w:line="500" w:lineRule="exact"/>
        <w:ind w:firstLine="480" w:firstLineChars="200"/>
        <w:rPr>
          <w:rFonts w:hint="eastAsia"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Times New Roman"/>
          <w:color w:val="000000" w:themeColor="text1"/>
          <w:kern w:val="0"/>
          <w:sz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highlight w:val="none"/>
          <w14:textFill>
            <w14:solidFill>
              <w14:schemeClr w14:val="tx1"/>
            </w14:solidFill>
          </w14:textFill>
        </w:rPr>
        <w:t>3.</w:t>
      </w:r>
      <w:r>
        <w:rPr>
          <w:rFonts w:hint="eastAsia" w:ascii="宋体" w:hAnsi="宋体" w:cs="Times New Roman"/>
          <w:color w:val="000000" w:themeColor="text1"/>
          <w:kern w:val="0"/>
          <w:sz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highlight w:val="none"/>
          <w14:textFill>
            <w14:solidFill>
              <w14:schemeClr w14:val="tx1"/>
            </w14:solidFill>
          </w14:textFill>
        </w:rPr>
        <w:t>资格审查方式：资格后审。</w:t>
      </w:r>
    </w:p>
    <w:p w14:paraId="04BD8247">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3.</w:t>
      </w:r>
      <w:r>
        <w:rPr>
          <w:rFonts w:hint="eastAsia" w:ascii="宋体" w:hAnsi="宋体"/>
          <w:color w:val="000000" w:themeColor="text1"/>
          <w:kern w:val="0"/>
          <w:sz w:val="24"/>
          <w:highlight w:val="none"/>
          <w14:textFill>
            <w14:solidFill>
              <w14:schemeClr w14:val="tx1"/>
            </w14:solidFill>
          </w14:textFill>
        </w:rPr>
        <w:t>响应文件报价应是竞争性谈判文件和其他相关资料确定的全部工作内容的价格体现。</w:t>
      </w:r>
    </w:p>
    <w:p w14:paraId="753B91CA">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4.</w:t>
      </w:r>
      <w:r>
        <w:rPr>
          <w:rFonts w:hint="eastAsia" w:ascii="宋体" w:hAnsi="宋体"/>
          <w:color w:val="000000" w:themeColor="text1"/>
          <w:kern w:val="0"/>
          <w:sz w:val="24"/>
          <w:highlight w:val="none"/>
          <w14:textFill>
            <w14:solidFill>
              <w14:schemeClr w14:val="tx1"/>
            </w14:solidFill>
          </w14:textFill>
        </w:rPr>
        <w:t>供应商的响应文件应实质性响应竞争性谈判文件要求。</w:t>
      </w:r>
    </w:p>
    <w:p w14:paraId="0954F4D6">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5.</w:t>
      </w:r>
      <w:r>
        <w:rPr>
          <w:rFonts w:hint="eastAsia" w:ascii="宋体" w:hAnsi="宋体"/>
          <w:color w:val="000000" w:themeColor="text1"/>
          <w:kern w:val="0"/>
          <w:sz w:val="24"/>
          <w:highlight w:val="none"/>
          <w14:textFill>
            <w14:solidFill>
              <w14:schemeClr w14:val="tx1"/>
            </w14:solidFill>
          </w14:textFill>
        </w:rPr>
        <w:t>响应文件递交截止时间之后，任何人不得更改响应文件。</w:t>
      </w:r>
    </w:p>
    <w:p w14:paraId="1B41725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6.</w:t>
      </w:r>
      <w:r>
        <w:rPr>
          <w:rFonts w:hint="eastAsia" w:ascii="宋体" w:hAnsi="宋体"/>
          <w:color w:val="000000" w:themeColor="text1"/>
          <w:kern w:val="0"/>
          <w:sz w:val="24"/>
          <w:highlight w:val="none"/>
          <w14:textFill>
            <w14:solidFill>
              <w14:schemeClr w14:val="tx1"/>
            </w14:solidFill>
          </w14:textFill>
        </w:rPr>
        <w:t>如有疑问，请与采购人或采购代理机构联系。</w:t>
      </w:r>
    </w:p>
    <w:p w14:paraId="38CD0B3D">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7.</w:t>
      </w:r>
      <w:r>
        <w:rPr>
          <w:rFonts w:hint="eastAsia" w:ascii="宋体" w:hAnsi="宋体"/>
          <w:color w:val="000000" w:themeColor="text1"/>
          <w:kern w:val="0"/>
          <w:sz w:val="24"/>
          <w:highlight w:val="none"/>
          <w14:textFill>
            <w14:solidFill>
              <w14:schemeClr w14:val="tx1"/>
            </w14:solidFill>
          </w14:textFill>
        </w:rPr>
        <w:t>合同由成交人与</w:t>
      </w:r>
      <w:r>
        <w:rPr>
          <w:rFonts w:hint="eastAsia" w:ascii="宋体" w:hAnsi="宋体"/>
          <w:color w:val="000000" w:themeColor="text1"/>
          <w:kern w:val="0"/>
          <w:sz w:val="24"/>
          <w:highlight w:val="none"/>
          <w:lang w:eastAsia="zh-CN"/>
          <w14:textFill>
            <w14:solidFill>
              <w14:schemeClr w14:val="tx1"/>
            </w14:solidFill>
          </w14:textFill>
        </w:rPr>
        <w:t>博爱县民政局</w:t>
      </w:r>
      <w:r>
        <w:rPr>
          <w:rFonts w:hint="eastAsia" w:ascii="宋体" w:hAnsi="宋体"/>
          <w:color w:val="000000" w:themeColor="text1"/>
          <w:kern w:val="0"/>
          <w:sz w:val="24"/>
          <w:highlight w:val="none"/>
          <w14:textFill>
            <w14:solidFill>
              <w14:schemeClr w14:val="tx1"/>
            </w14:solidFill>
          </w14:textFill>
        </w:rPr>
        <w:t>签订。</w:t>
      </w:r>
    </w:p>
    <w:p w14:paraId="2D34F881">
      <w:pPr>
        <w:widowControl/>
        <w:numPr>
          <w:ilvl w:val="0"/>
          <w:numId w:val="0"/>
        </w:numPr>
        <w:spacing w:line="500" w:lineRule="exact"/>
        <w:ind w:left="0" w:leftChars="0" w:firstLine="480" w:firstLineChars="0"/>
        <w:rPr>
          <w:rFonts w:hint="eastAsia" w:ascii="宋体" w:hAnsi="宋体"/>
          <w:color w:val="000000" w:themeColor="text1"/>
          <w:kern w:val="0"/>
          <w:sz w:val="24"/>
          <w:highlight w:val="none"/>
          <w14:textFill>
            <w14:solidFill>
              <w14:schemeClr w14:val="tx1"/>
            </w14:solidFill>
          </w14:textFill>
        </w:rPr>
      </w:pPr>
      <w:r>
        <w:rPr>
          <w:rFonts w:hint="default" w:ascii="宋体" w:hAnsi="宋体" w:eastAsia="宋体" w:cs="Times New Roman"/>
          <w:i w:val="0"/>
          <w:iCs w:val="0"/>
          <w:color w:val="000000"/>
          <w:kern w:val="0"/>
          <w:sz w:val="24"/>
          <w:szCs w:val="24"/>
          <w:lang w:val="en-US" w:eastAsia="zh-CN" w:bidi="ar-SA"/>
        </w:rPr>
        <w:t>8</w:t>
      </w:r>
      <w:r>
        <w:rPr>
          <w:rFonts w:hint="default" w:ascii="宋体" w:hAnsi="宋体"/>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成交人不得转包项目，否则一经发现，采购人有权另行选择其它单位。</w:t>
      </w:r>
    </w:p>
    <w:p w14:paraId="5CB4E9CD">
      <w:pPr>
        <w:widowControl/>
        <w:numPr>
          <w:ilvl w:val="0"/>
          <w:numId w:val="0"/>
        </w:numPr>
        <w:spacing w:line="500" w:lineRule="exact"/>
        <w:ind w:left="0" w:leftChars="0" w:firstLine="480" w:firstLineChars="0"/>
        <w:rPr>
          <w:rFonts w:hint="eastAsia" w:ascii="宋体" w:hAnsi="宋体" w:eastAsia="宋体" w:cs="宋体"/>
          <w:color w:val="auto"/>
          <w:sz w:val="24"/>
          <w:szCs w:val="24"/>
          <w:lang w:eastAsia="zh-CN"/>
        </w:rPr>
      </w:pPr>
      <w:r>
        <w:rPr>
          <w:rFonts w:hint="default" w:ascii="宋体" w:hAnsi="宋体"/>
          <w:color w:val="auto"/>
          <w:kern w:val="0"/>
          <w:sz w:val="24"/>
          <w:highlight w:val="none"/>
          <w:lang w:val="en-US" w:eastAsia="zh-CN"/>
        </w:rPr>
        <w:t>9.</w:t>
      </w:r>
      <w:r>
        <w:rPr>
          <w:rFonts w:hint="eastAsia" w:ascii="宋体" w:hAnsi="宋体"/>
          <w:color w:val="auto"/>
          <w:kern w:val="0"/>
          <w:sz w:val="24"/>
          <w:highlight w:val="none"/>
        </w:rPr>
        <w:t>付款方式：</w:t>
      </w:r>
      <w:r>
        <w:rPr>
          <w:rFonts w:hint="eastAsia" w:ascii="宋体" w:cs="宋体"/>
          <w:bCs/>
          <w:color w:val="auto"/>
          <w:sz w:val="24"/>
          <w:highlight w:val="none"/>
          <w:lang w:val="en-US" w:eastAsia="zh-CN"/>
        </w:rPr>
        <w:t>供应商每月根据采购人确认的验收单与订单结算一次（节假日顺延），由采购人结算上月应付的货款，双方确认结算无误后，供应商开具符合财务要求的增值税发票，采购人在收到发票后向供应商支付；供应商未提供正规发票采购人有权不支付采购款；因特殊原因采购人延迟支付的供应商不得因为费用支付不到位延迟供货或提供有差别的货物和服务。</w:t>
      </w:r>
    </w:p>
    <w:p w14:paraId="637B13DF">
      <w:pPr>
        <w:widowControl/>
        <w:numPr>
          <w:ilvl w:val="0"/>
          <w:numId w:val="0"/>
        </w:numPr>
        <w:spacing w:line="500" w:lineRule="exact"/>
        <w:ind w:left="0" w:leftChars="0" w:firstLine="480" w:firstLineChars="0"/>
        <w:rPr>
          <w:rFonts w:hint="eastAsia" w:ascii="宋体" w:hAnsi="宋体"/>
          <w:color w:val="auto"/>
          <w:kern w:val="0"/>
          <w:sz w:val="24"/>
          <w:highlight w:val="none"/>
          <w:lang w:val="en-US" w:eastAsia="zh-CN"/>
        </w:rPr>
      </w:pPr>
      <w:r>
        <w:rPr>
          <w:rFonts w:hint="default" w:ascii="宋体" w:hAnsi="宋体"/>
          <w:color w:val="auto"/>
          <w:kern w:val="0"/>
          <w:sz w:val="24"/>
          <w:highlight w:val="none"/>
          <w:lang w:val="en-US" w:eastAsia="zh-CN"/>
        </w:rPr>
        <w:t>10.</w:t>
      </w:r>
      <w:r>
        <w:rPr>
          <w:rFonts w:hint="eastAsia" w:ascii="宋体" w:hAnsi="宋体"/>
          <w:color w:val="auto"/>
          <w:kern w:val="0"/>
          <w:sz w:val="24"/>
          <w:highlight w:val="none"/>
        </w:rPr>
        <w:t>质量要求：</w:t>
      </w:r>
      <w:bookmarkStart w:id="10" w:name="_Toc31607"/>
      <w:bookmarkStart w:id="11" w:name="_Toc533668869"/>
      <w:bookmarkStart w:id="12" w:name="_Toc27926"/>
      <w:r>
        <w:rPr>
          <w:rFonts w:hint="eastAsia" w:ascii="宋体" w:cs="宋体"/>
          <w:bCs/>
          <w:color w:val="000000" w:themeColor="text1"/>
          <w:sz w:val="24"/>
          <w:highlight w:val="none"/>
          <w:lang w:eastAsia="zh-CN"/>
          <w14:textFill>
            <w14:solidFill>
              <w14:schemeClr w14:val="tx1"/>
            </w14:solidFill>
          </w14:textFill>
        </w:rPr>
        <w:t>合格，符合国家通用食品质量标准和现行食品行业标准及相关食</w:t>
      </w:r>
      <w:r>
        <w:rPr>
          <w:rFonts w:hint="eastAsia" w:ascii="宋体" w:cs="宋体"/>
          <w:bCs/>
          <w:color w:val="auto"/>
          <w:sz w:val="24"/>
          <w:highlight w:val="none"/>
          <w:lang w:eastAsia="zh-CN"/>
        </w:rPr>
        <w:t>品卫生安全要求；能确保每日用餐的正常供应，并做到品种齐全，确保无责任事故、食品及卫生安全事故。</w:t>
      </w:r>
      <w:r>
        <w:rPr>
          <w:rFonts w:hint="eastAsia" w:ascii="宋体" w:hAnsi="宋体"/>
          <w:color w:val="auto"/>
          <w:kern w:val="0"/>
          <w:sz w:val="24"/>
          <w:highlight w:val="none"/>
          <w:lang w:val="en-US" w:eastAsia="zh-CN"/>
        </w:rPr>
        <w:t xml:space="preserve"> </w:t>
      </w:r>
    </w:p>
    <w:p w14:paraId="61639F17">
      <w:pPr>
        <w:widowControl/>
        <w:numPr>
          <w:ilvl w:val="0"/>
          <w:numId w:val="0"/>
        </w:numPr>
        <w:spacing w:line="500" w:lineRule="exact"/>
        <w:ind w:left="0" w:leftChars="0" w:firstLine="480" w:firstLineChars="0"/>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11.服务期限：</w:t>
      </w:r>
      <w:r>
        <w:rPr>
          <w:rFonts w:hint="eastAsia" w:ascii="宋体" w:hAnsi="宋体"/>
          <w:color w:val="auto"/>
          <w:kern w:val="0"/>
          <w:sz w:val="24"/>
          <w:highlight w:val="none"/>
          <w:lang w:eastAsia="zh-CN"/>
        </w:rPr>
        <w:t>自合同签订之日</w:t>
      </w:r>
      <w:r>
        <w:rPr>
          <w:rFonts w:hint="eastAsia" w:ascii="宋体" w:hAnsi="宋体"/>
          <w:color w:val="auto"/>
          <w:kern w:val="0"/>
          <w:sz w:val="24"/>
          <w:highlight w:val="none"/>
          <w:lang w:val="en-US" w:eastAsia="zh-CN"/>
        </w:rPr>
        <w:t>一年</w:t>
      </w:r>
      <w:r>
        <w:rPr>
          <w:rFonts w:hint="eastAsia" w:ascii="宋体" w:hAnsi="宋体"/>
          <w:color w:val="auto"/>
          <w:kern w:val="0"/>
          <w:sz w:val="24"/>
          <w:highlight w:val="none"/>
          <w:lang w:eastAsia="zh-CN"/>
        </w:rPr>
        <w:t>。</w:t>
      </w:r>
    </w:p>
    <w:p w14:paraId="24A1F5A5">
      <w:pPr>
        <w:rPr>
          <w:color w:val="000000" w:themeColor="text1"/>
          <w:highlight w:val="none"/>
          <w14:textFill>
            <w14:solidFill>
              <w14:schemeClr w14:val="tx1"/>
            </w14:solidFill>
          </w14:textFill>
        </w:rPr>
      </w:pPr>
    </w:p>
    <w:p w14:paraId="3BB2B421">
      <w:pPr>
        <w:pStyle w:val="3"/>
        <w:rPr>
          <w:color w:val="000000" w:themeColor="text1"/>
          <w:highlight w:val="none"/>
          <w14:textFill>
            <w14:solidFill>
              <w14:schemeClr w14:val="tx1"/>
            </w14:solidFill>
          </w14:textFill>
        </w:rPr>
      </w:pPr>
    </w:p>
    <w:p w14:paraId="51B526C3">
      <w:pPr>
        <w:rPr>
          <w:color w:val="000000" w:themeColor="text1"/>
          <w:highlight w:val="none"/>
          <w14:textFill>
            <w14:solidFill>
              <w14:schemeClr w14:val="tx1"/>
            </w14:solidFill>
          </w14:textFill>
        </w:rPr>
      </w:pPr>
    </w:p>
    <w:p w14:paraId="2D9CD956">
      <w:pPr>
        <w:pStyle w:val="3"/>
        <w:rPr>
          <w:color w:val="000000" w:themeColor="text1"/>
          <w:highlight w:val="none"/>
          <w14:textFill>
            <w14:solidFill>
              <w14:schemeClr w14:val="tx1"/>
            </w14:solidFill>
          </w14:textFill>
        </w:rPr>
      </w:pPr>
    </w:p>
    <w:p w14:paraId="754A918E">
      <w:pPr>
        <w:rPr>
          <w:color w:val="000000" w:themeColor="text1"/>
          <w:highlight w:val="none"/>
          <w14:textFill>
            <w14:solidFill>
              <w14:schemeClr w14:val="tx1"/>
            </w14:solidFill>
          </w14:textFill>
        </w:rPr>
      </w:pPr>
    </w:p>
    <w:p w14:paraId="48BEE235">
      <w:pPr>
        <w:pStyle w:val="19"/>
        <w:rPr>
          <w:color w:val="000000" w:themeColor="text1"/>
          <w:highlight w:val="none"/>
          <w14:textFill>
            <w14:solidFill>
              <w14:schemeClr w14:val="tx1"/>
            </w14:solidFill>
          </w14:textFill>
        </w:rPr>
      </w:pPr>
    </w:p>
    <w:p w14:paraId="5DF8DB33">
      <w:pPr>
        <w:rPr>
          <w:color w:val="000000" w:themeColor="text1"/>
          <w:highlight w:val="none"/>
          <w14:textFill>
            <w14:solidFill>
              <w14:schemeClr w14:val="tx1"/>
            </w14:solidFill>
          </w14:textFill>
        </w:rPr>
      </w:pPr>
    </w:p>
    <w:p w14:paraId="2EFE2C77">
      <w:pPr>
        <w:pStyle w:val="19"/>
        <w:rPr>
          <w:color w:val="000000" w:themeColor="text1"/>
          <w:highlight w:val="none"/>
          <w14:textFill>
            <w14:solidFill>
              <w14:schemeClr w14:val="tx1"/>
            </w14:solidFill>
          </w14:textFill>
        </w:rPr>
      </w:pPr>
    </w:p>
    <w:p w14:paraId="67FC8B26">
      <w:pPr>
        <w:rPr>
          <w:color w:val="000000" w:themeColor="text1"/>
          <w:highlight w:val="none"/>
          <w14:textFill>
            <w14:solidFill>
              <w14:schemeClr w14:val="tx1"/>
            </w14:solidFill>
          </w14:textFill>
        </w:rPr>
      </w:pPr>
    </w:p>
    <w:p w14:paraId="5E731A4D">
      <w:pPr>
        <w:pStyle w:val="19"/>
        <w:rPr>
          <w:color w:val="000000" w:themeColor="text1"/>
          <w:highlight w:val="none"/>
          <w14:textFill>
            <w14:solidFill>
              <w14:schemeClr w14:val="tx1"/>
            </w14:solidFill>
          </w14:textFill>
        </w:rPr>
      </w:pPr>
    </w:p>
    <w:p w14:paraId="00C4F297">
      <w:pPr>
        <w:rPr>
          <w:color w:val="000000" w:themeColor="text1"/>
          <w:highlight w:val="none"/>
          <w14:textFill>
            <w14:solidFill>
              <w14:schemeClr w14:val="tx1"/>
            </w14:solidFill>
          </w14:textFill>
        </w:rPr>
      </w:pPr>
    </w:p>
    <w:p w14:paraId="1E9B2C93">
      <w:pPr>
        <w:pStyle w:val="19"/>
        <w:rPr>
          <w:color w:val="000000" w:themeColor="text1"/>
          <w:highlight w:val="none"/>
          <w14:textFill>
            <w14:solidFill>
              <w14:schemeClr w14:val="tx1"/>
            </w14:solidFill>
          </w14:textFill>
        </w:rPr>
      </w:pPr>
    </w:p>
    <w:p w14:paraId="4209D334">
      <w:pPr>
        <w:rPr>
          <w:color w:val="000000" w:themeColor="text1"/>
          <w:highlight w:val="none"/>
          <w14:textFill>
            <w14:solidFill>
              <w14:schemeClr w14:val="tx1"/>
            </w14:solidFill>
          </w14:textFill>
        </w:rPr>
      </w:pPr>
    </w:p>
    <w:p w14:paraId="0DF84208">
      <w:pPr>
        <w:pStyle w:val="19"/>
        <w:rPr>
          <w:color w:val="000000" w:themeColor="text1"/>
          <w:highlight w:val="none"/>
          <w14:textFill>
            <w14:solidFill>
              <w14:schemeClr w14:val="tx1"/>
            </w14:solidFill>
          </w14:textFill>
        </w:rPr>
      </w:pPr>
    </w:p>
    <w:p w14:paraId="3B8F080D">
      <w:pPr>
        <w:rPr>
          <w:color w:val="000000" w:themeColor="text1"/>
          <w:highlight w:val="none"/>
          <w14:textFill>
            <w14:solidFill>
              <w14:schemeClr w14:val="tx1"/>
            </w14:solidFill>
          </w14:textFill>
        </w:rPr>
      </w:pPr>
    </w:p>
    <w:p w14:paraId="5C1769B6">
      <w:pPr>
        <w:rPr>
          <w:color w:val="000000" w:themeColor="text1"/>
          <w:highlight w:val="none"/>
          <w14:textFill>
            <w14:solidFill>
              <w14:schemeClr w14:val="tx1"/>
            </w14:solidFill>
          </w14:textFill>
        </w:rPr>
      </w:pPr>
    </w:p>
    <w:p w14:paraId="7934BF33">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13" w:name="_Toc18477"/>
      <w:r>
        <w:rPr>
          <w:rFonts w:hint="eastAsia"/>
          <w:color w:val="000000" w:themeColor="text1"/>
          <w:kern w:val="0"/>
          <w:sz w:val="28"/>
          <w:szCs w:val="28"/>
          <w:highlight w:val="none"/>
          <w14:textFill>
            <w14:solidFill>
              <w14:schemeClr w14:val="tx1"/>
            </w14:solidFill>
          </w14:textFill>
        </w:rPr>
        <w:t>第二部分 参与采购须知</w:t>
      </w:r>
      <w:bookmarkEnd w:id="10"/>
      <w:bookmarkEnd w:id="11"/>
      <w:bookmarkEnd w:id="12"/>
      <w:bookmarkEnd w:id="13"/>
    </w:p>
    <w:p w14:paraId="7797F79E">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一、总则</w:t>
      </w:r>
    </w:p>
    <w:p w14:paraId="1C035E6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根据《中华人民共和国政府采购法》以及相关的法律、法规、规章等，按照本文件中预定的评标方式择优选定成交人。</w:t>
      </w:r>
    </w:p>
    <w:p w14:paraId="4849BF4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本次竞争性谈判已按照有关规定向博爱县</w:t>
      </w:r>
      <w:r>
        <w:rPr>
          <w:rFonts w:hint="eastAsia" w:ascii="宋体" w:hAnsi="宋体" w:cs="宋体"/>
          <w:color w:val="000000" w:themeColor="text1"/>
          <w:kern w:val="0"/>
          <w:sz w:val="24"/>
          <w:highlight w:val="none"/>
          <w:lang w:val="en-US" w:eastAsia="zh-CN"/>
          <w14:textFill>
            <w14:solidFill>
              <w14:schemeClr w14:val="tx1"/>
            </w14:solidFill>
          </w14:textFill>
        </w:rPr>
        <w:t>人民政府请示</w:t>
      </w:r>
      <w:r>
        <w:rPr>
          <w:rFonts w:hint="eastAsia" w:ascii="宋体" w:hAnsi="宋体" w:cs="宋体"/>
          <w:color w:val="000000" w:themeColor="text1"/>
          <w:kern w:val="0"/>
          <w:sz w:val="24"/>
          <w:highlight w:val="none"/>
          <w14:textFill>
            <w14:solidFill>
              <w14:schemeClr w14:val="tx1"/>
            </w14:solidFill>
          </w14:textFill>
        </w:rPr>
        <w:t>。</w:t>
      </w:r>
    </w:p>
    <w:p w14:paraId="503BFE8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维护双方当事人的合法权益，反对不正当竞争。</w:t>
      </w:r>
    </w:p>
    <w:p w14:paraId="28A064E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供应商应仔细阅读竞争性谈判文件，一旦参与竞争性谈判，均认为响应该竞争性谈判文件中采购人的有关要求。</w:t>
      </w:r>
    </w:p>
    <w:p w14:paraId="2C4C907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投标费用：供应商在投标过程中所发生的一切费用，不论成交与否，均由供应商自负，采购单位不承担任何责任。</w:t>
      </w:r>
    </w:p>
    <w:p w14:paraId="71F1B45B">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p>
    <w:p w14:paraId="104E2FAC">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二、采购内容及要求</w:t>
      </w:r>
    </w:p>
    <w:p w14:paraId="22878D30">
      <w:pPr>
        <w:widowControl/>
        <w:spacing w:line="500" w:lineRule="exact"/>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项目名称：</w:t>
      </w:r>
      <w:r>
        <w:rPr>
          <w:rFonts w:hint="eastAsia" w:ascii="宋体" w:hAnsi="宋体" w:cs="宋体"/>
          <w:color w:val="000000" w:themeColor="text1"/>
          <w:kern w:val="0"/>
          <w:sz w:val="24"/>
          <w:highlight w:val="none"/>
          <w:lang w:eastAsia="zh-CN"/>
          <w14:textFill>
            <w14:solidFill>
              <w14:schemeClr w14:val="tx1"/>
            </w14:solidFill>
          </w14:textFill>
        </w:rPr>
        <w:t>博爱县民政局中心敬老院食材采购项目</w:t>
      </w:r>
    </w:p>
    <w:p w14:paraId="7F73EB3F">
      <w:pPr>
        <w:widowControl/>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采购内容：</w:t>
      </w:r>
      <w:r>
        <w:rPr>
          <w:rFonts w:hint="eastAsia" w:ascii="宋体" w:hAnsi="宋体" w:cs="宋体"/>
          <w:color w:val="auto"/>
          <w:kern w:val="0"/>
          <w:sz w:val="24"/>
          <w:highlight w:val="none"/>
          <w:lang w:val="en-US" w:eastAsia="zh-CN"/>
        </w:rPr>
        <w:t>采购配送粮食加工类、肉类、禽蛋类、豆制品、蔬菜类、水果类、调料类、干杂类、油炸烤焙类及其他副食品等，根据实际需要情况提供采购配送服务，一年使用资金约为80万元。</w:t>
      </w:r>
    </w:p>
    <w:p w14:paraId="49B115B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三、采购文件</w:t>
      </w:r>
    </w:p>
    <w:p w14:paraId="299A1D0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竞争性谈判文件包括本文件和所有按本文件规定发出的补充通知等。</w:t>
      </w:r>
    </w:p>
    <w:p w14:paraId="1857E3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供应商的响应文件应实质上响应竞争性谈判文件的要求，否则，响应文件将被拒绝。</w:t>
      </w:r>
    </w:p>
    <w:p w14:paraId="7EC4E57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竞争性谈判文件的解释。</w:t>
      </w:r>
    </w:p>
    <w:p w14:paraId="62A3ECB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供应商对收到的本项目竞争性谈判文件若有疑问，</w:t>
      </w:r>
      <w:r>
        <w:rPr>
          <w:rFonts w:hint="eastAsia" w:ascii="宋体" w:hAnsi="宋体" w:cs="宋体"/>
          <w:bCs/>
          <w:color w:val="000000" w:themeColor="text1"/>
          <w:sz w:val="24"/>
          <w:highlight w:val="none"/>
          <w14:textFill>
            <w14:solidFill>
              <w14:schemeClr w14:val="tx1"/>
            </w14:solidFill>
          </w14:textFill>
        </w:rPr>
        <w:t>应以书面形式向</w:t>
      </w:r>
      <w:r>
        <w:rPr>
          <w:rFonts w:hint="eastAsia" w:ascii="宋体" w:hAnsi="宋体" w:cs="宋体"/>
          <w:color w:val="000000" w:themeColor="text1"/>
          <w:kern w:val="0"/>
          <w:sz w:val="24"/>
          <w:highlight w:val="none"/>
          <w14:textFill>
            <w14:solidFill>
              <w14:schemeClr w14:val="tx1"/>
            </w14:solidFill>
          </w14:textFill>
        </w:rPr>
        <w:t>采购人、采购代理机构提出，采购人和采购代理机构将在提起之日起七个工作日内以书面形式给予答复。</w:t>
      </w:r>
    </w:p>
    <w:p w14:paraId="45BDAE5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本竞争性谈判文件的解释权属于</w:t>
      </w: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w:t>
      </w:r>
    </w:p>
    <w:p w14:paraId="18D6AC88">
      <w:pPr>
        <w:widowControl/>
        <w:spacing w:line="500" w:lineRule="exact"/>
        <w:ind w:left="4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4.竞争性谈判文件的修改。</w:t>
      </w:r>
    </w:p>
    <w:p w14:paraId="7EA59E3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4.1 在竞争性谈判文件发出后，如需对文件进行修改，应在竞争性谈判开始前以补充通知的形式在相关网站发布。</w:t>
      </w:r>
    </w:p>
    <w:p w14:paraId="32B3A8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竞争性谈判文件、补充通知内容相互矛盾时，以最后发出的通知为准。</w:t>
      </w:r>
    </w:p>
    <w:p w14:paraId="68DD6ACB">
      <w:pPr>
        <w:jc w:val="center"/>
        <w:rPr>
          <w:rFonts w:hint="eastAsia" w:ascii="宋体" w:hAnsi="宋体" w:cs="宋体"/>
          <w:b/>
          <w:bCs/>
          <w:color w:val="000000" w:themeColor="text1"/>
          <w:kern w:val="0"/>
          <w:sz w:val="28"/>
          <w:szCs w:val="28"/>
          <w:highlight w:val="none"/>
          <w14:textFill>
            <w14:solidFill>
              <w14:schemeClr w14:val="tx1"/>
            </w14:solidFill>
          </w14:textFill>
        </w:rPr>
      </w:pPr>
    </w:p>
    <w:p w14:paraId="315DC8DC">
      <w:pPr>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四、采购要求</w:t>
      </w:r>
    </w:p>
    <w:p w14:paraId="75EF641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确定成交人后，成交人要按照响应文件中承诺的内容履行合同。</w:t>
      </w:r>
    </w:p>
    <w:p w14:paraId="7BE044E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参加竞争性谈判的供应商应按竞争性谈判文件中提供的格式填写响应文件，否则将认为是对该竞争性谈判文件的不响应。</w:t>
      </w:r>
    </w:p>
    <w:p w14:paraId="65BF93A7">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对竞争性谈判文件未作出实质性响应的供应商将被拒绝参与谈判。</w:t>
      </w:r>
    </w:p>
    <w:p w14:paraId="019049C2">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五、响应文件的编制、递交和修改</w:t>
      </w:r>
    </w:p>
    <w:p w14:paraId="176A5405">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1. 响应文件的语言及格式</w:t>
      </w:r>
    </w:p>
    <w:p w14:paraId="652614AA">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与报价有关的所有文件必须使用中文（本竞争性谈判文件中有特殊要求的情形除外），供应商必须使用竞争性谈判文件中规定的文件格式。</w:t>
      </w:r>
    </w:p>
    <w:p w14:paraId="1DB67704">
      <w:pPr>
        <w:widowControl/>
        <w:numPr>
          <w:ilvl w:val="0"/>
          <w:numId w:val="0"/>
        </w:numPr>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b/>
          <w:bCs/>
          <w:kern w:val="0"/>
          <w:sz w:val="24"/>
        </w:rPr>
        <w:t>2. 响应文件的组成</w:t>
      </w:r>
    </w:p>
    <w:p w14:paraId="7C0085D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响应文件应主要包括下列部分：</w:t>
      </w:r>
    </w:p>
    <w:p w14:paraId="3B1B164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投标函、投标报价明细表；</w:t>
      </w:r>
    </w:p>
    <w:p w14:paraId="1931A3F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法定代表人身份证明；</w:t>
      </w:r>
    </w:p>
    <w:p w14:paraId="206CFB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 授权人委托书；</w:t>
      </w:r>
    </w:p>
    <w:p w14:paraId="1001C7B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2.4 供应商资格证明承诺函；</w:t>
      </w:r>
    </w:p>
    <w:p w14:paraId="2F588E3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 供应商服务承诺和优惠承诺；</w:t>
      </w:r>
    </w:p>
    <w:p w14:paraId="735433F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2.6 供应商所投产品属于当期政府采购清单规定的节能环保产品的证明材料(如有)；</w:t>
      </w:r>
    </w:p>
    <w:p w14:paraId="005B35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2.7 投标承诺函；</w:t>
      </w:r>
    </w:p>
    <w:p w14:paraId="46167E8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2.8 中小企业声明函；</w:t>
      </w:r>
    </w:p>
    <w:p w14:paraId="6801470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2.9 残疾人福利性单位声明函（如有）；</w:t>
      </w:r>
    </w:p>
    <w:p w14:paraId="140DD58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2.10 竞争性谈判文件要求的或供应商认为需要加以说明的其他内容。</w:t>
      </w:r>
    </w:p>
    <w:p w14:paraId="71C609B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全套响应文件应无涂改和行间插字，如有修改应在修改处加盖供应商的企业印章（即公章）或企业法定代表人或其委托代理人印章（或签字）。</w:t>
      </w:r>
    </w:p>
    <w:p w14:paraId="556F919D">
      <w:pPr>
        <w:widowControl/>
        <w:spacing w:line="500" w:lineRule="exact"/>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食品经营许可证证书除外）</w:t>
      </w:r>
      <w:r>
        <w:rPr>
          <w:rFonts w:hint="eastAsia" w:ascii="宋体" w:hAnsi="宋体" w:cs="宋体"/>
          <w:b/>
          <w:bCs/>
          <w:color w:val="000000" w:themeColor="text1"/>
          <w:sz w:val="24"/>
          <w:highlight w:val="none"/>
          <w14:textFill>
            <w14:solidFill>
              <w14:schemeClr w14:val="tx1"/>
            </w14:solidFill>
          </w14:textFill>
        </w:rPr>
        <w:t>，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pacing w:line="500" w:lineRule="exact"/>
        <w:ind w:firstLine="482" w:firstLineChars="200"/>
        <w:jc w:val="left"/>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bookmarkStart w:id="14" w:name="_Toc426369503"/>
      <w:bookmarkStart w:id="15" w:name="_Toc274249597"/>
      <w:bookmarkStart w:id="16" w:name="_Toc403122514"/>
      <w:bookmarkStart w:id="17" w:name="_Toc279599793"/>
      <w:r>
        <w:rPr>
          <w:rFonts w:hint="eastAsia" w:ascii="宋体" w:hAnsi="宋体" w:cs="宋体"/>
          <w:b/>
          <w:bCs/>
          <w:color w:val="000000" w:themeColor="text1"/>
          <w:sz w:val="24"/>
          <w:highlight w:val="none"/>
          <w14:textFill>
            <w14:solidFill>
              <w14:schemeClr w14:val="tx1"/>
            </w14:solidFill>
          </w14:textFill>
        </w:rPr>
        <w:t xml:space="preserve">3. </w:t>
      </w:r>
      <w:r>
        <w:rPr>
          <w:rFonts w:hint="eastAsia" w:ascii="宋体" w:hAnsi="宋体" w:cs="宋体"/>
          <w:b/>
          <w:bCs/>
          <w:color w:val="000000" w:themeColor="text1"/>
          <w:kern w:val="0"/>
          <w:sz w:val="24"/>
          <w:highlight w:val="none"/>
          <w14:textFill>
            <w14:solidFill>
              <w14:schemeClr w14:val="tx1"/>
            </w14:solidFill>
          </w14:textFill>
        </w:rPr>
        <w:t>响应</w:t>
      </w:r>
      <w:r>
        <w:rPr>
          <w:rFonts w:hint="eastAsia" w:ascii="宋体" w:hAnsi="宋体" w:cs="宋体"/>
          <w:b/>
          <w:bCs/>
          <w:color w:val="000000" w:themeColor="text1"/>
          <w:sz w:val="24"/>
          <w:highlight w:val="none"/>
          <w14:textFill>
            <w14:solidFill>
              <w14:schemeClr w14:val="tx1"/>
            </w14:solidFill>
          </w14:textFill>
        </w:rPr>
        <w:t>文件的编制</w:t>
      </w:r>
      <w:bookmarkEnd w:id="14"/>
      <w:bookmarkEnd w:id="15"/>
      <w:bookmarkEnd w:id="16"/>
      <w:bookmarkEnd w:id="17"/>
    </w:p>
    <w:p w14:paraId="5619BF20">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响应文件应按竞争性谈判文件中要求使用焦作市公共资源交易系统</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 xml:space="preserve">文件制作专用工具软件编制。 </w:t>
      </w:r>
    </w:p>
    <w:p w14:paraId="34C605EB">
      <w:pPr>
        <w:widowControl/>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000000" w:themeColor="text1"/>
          <w:sz w:val="24"/>
          <w:highlight w:val="none"/>
          <w14:textFill>
            <w14:solidFill>
              <w14:schemeClr w14:val="tx1"/>
            </w14:solidFill>
          </w14:textFill>
        </w:rPr>
        <w:t>3.2 响应文件应当对竞争性谈判文件</w:t>
      </w:r>
      <w:r>
        <w:rPr>
          <w:rFonts w:hint="eastAsia" w:ascii="宋体" w:hAnsi="宋体" w:cs="宋体"/>
          <w:color w:val="auto"/>
          <w:sz w:val="24"/>
          <w:highlight w:val="none"/>
        </w:rPr>
        <w:t>有关</w:t>
      </w:r>
      <w:r>
        <w:rPr>
          <w:rFonts w:hint="eastAsia" w:ascii="宋体" w:hAnsi="宋体" w:cs="Times New Roman"/>
          <w:i w:val="0"/>
          <w:iCs w:val="0"/>
          <w:color w:val="auto"/>
          <w:kern w:val="0"/>
          <w:sz w:val="24"/>
          <w:szCs w:val="24"/>
          <w:highlight w:val="none"/>
          <w:lang w:val="en-US" w:eastAsia="zh-CN" w:bidi="ar-SA"/>
        </w:rPr>
        <w:t>服务期限</w:t>
      </w:r>
      <w:r>
        <w:rPr>
          <w:rFonts w:hint="eastAsia" w:ascii="宋体" w:hAnsi="宋体" w:cs="宋体"/>
          <w:color w:val="auto"/>
          <w:sz w:val="24"/>
          <w:highlight w:val="none"/>
        </w:rPr>
        <w:t>、投标有效期、质量要求、采购内容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付款方式</w:t>
      </w:r>
      <w:r>
        <w:rPr>
          <w:rFonts w:hint="eastAsia" w:ascii="宋体" w:hAnsi="宋体" w:cs="宋体"/>
          <w:color w:val="auto"/>
          <w:sz w:val="24"/>
          <w:highlight w:val="none"/>
        </w:rPr>
        <w:t>等实质性内容作出承诺及响应。</w:t>
      </w:r>
    </w:p>
    <w:p w14:paraId="2BDDD34D">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3.3 本项目采用电子开评标方式，潜在供应商可提前在</w:t>
      </w:r>
      <w:r>
        <w:rPr>
          <w:rFonts w:hint="eastAsia" w:ascii="宋体" w:hAnsi="宋体" w:cs="宋体"/>
          <w:color w:val="000000" w:themeColor="text1"/>
          <w:sz w:val="24"/>
          <w:highlight w:val="none"/>
          <w14:textFill>
            <w14:solidFill>
              <w14:schemeClr w14:val="tx1"/>
            </w14:solidFill>
          </w14:textFill>
        </w:rPr>
        <w:t>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文件制作和上传等。为避免网络拥堵等不可控因素影响投标文件的上传，请提前上传</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文件，按要求解密</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sz w:val="24"/>
          <w:highlight w:val="none"/>
          <w14:textFill>
            <w14:solidFill>
              <w14:schemeClr w14:val="tx1"/>
            </w14:solidFill>
          </w14:textFill>
        </w:rPr>
        <w:t>文件。因文件未及时上传导致投标失败的责任由供应商自行承担。</w:t>
      </w:r>
    </w:p>
    <w:p w14:paraId="77FFFD06">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 签字盖章要求：</w:t>
      </w:r>
    </w:p>
    <w:p w14:paraId="329AB708">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要求供应商加盖公章的地方都应加盖供应商单位的CA印章。</w:t>
      </w:r>
    </w:p>
    <w:p w14:paraId="746C7E74">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要求法定代表人签字或盖章的，法定代表人在签字或盖章的地方上传手写签名的扫描件或加盖法定代表人CA印章。</w:t>
      </w:r>
    </w:p>
    <w:p w14:paraId="013C0C19">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3.4.3 要求委托代理人签字或盖章的，委托代理人在签字或盖章的地方上传手写签名的扫描件或加盖委托代理人CA印章。</w:t>
      </w:r>
    </w:p>
    <w:p w14:paraId="77A8DA8B">
      <w:pPr>
        <w:spacing w:line="500" w:lineRule="exact"/>
        <w:ind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 响应性文件的语言和计量单位</w:t>
      </w:r>
    </w:p>
    <w:p w14:paraId="23D500EF">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4.1 谈判文件以及供应商与采购人、采购代理机构就有关投标事宜的所有来往函电均应使用简体中文书写。</w:t>
      </w:r>
    </w:p>
    <w:p w14:paraId="3D918832">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4.2 关于投标计量单位，谈判文件已有明确规定的，使用响应性文件规定的计量单位；谈判文件没有规定的，应采用中华人民共和国法定计量单位。 </w:t>
      </w:r>
    </w:p>
    <w:p w14:paraId="1322C8EC">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pacing w:line="500" w:lineRule="exact"/>
        <w:ind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4.4 本响应性文件所表述的时间均为北京时间。</w:t>
      </w:r>
    </w:p>
    <w:p w14:paraId="0C5843A7">
      <w:pPr>
        <w:pStyle w:val="5"/>
        <w:spacing w:before="0" w:after="0" w:line="500" w:lineRule="exact"/>
        <w:ind w:firstLine="482" w:firstLineChars="200"/>
        <w:rPr>
          <w:rFonts w:hint="eastAsia"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5. 响应文件的补充与撤回</w:t>
      </w:r>
    </w:p>
    <w:p w14:paraId="31280BC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5.1 供应商在投标截止时间前可对其响应性文件进行修改并重新上传或在焦作市电子招投标交易平台上进行撤回投标的操作。</w:t>
      </w:r>
    </w:p>
    <w:p w14:paraId="6857936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 供应商在响应文件递交截止时间后不能修改、补充替代或撤回其响应文件。</w:t>
      </w:r>
    </w:p>
    <w:p w14:paraId="68F00C7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6、响应性文件有下列情形之一的，采购代理机构不予接收。</w:t>
      </w:r>
    </w:p>
    <w:p w14:paraId="5C7C25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6.1在响应文件递交截止时间以后递交的响应性文件为无效文件，采购人将不予接收。</w:t>
      </w:r>
    </w:p>
    <w:p w14:paraId="4D08360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6.2未按竞争性谈判文件要求签章的。</w:t>
      </w:r>
    </w:p>
    <w:p w14:paraId="3CABC28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p>
    <w:p w14:paraId="02BF8BCD">
      <w:pPr>
        <w:widowControl/>
        <w:spacing w:line="500" w:lineRule="exact"/>
        <w:ind w:firstLine="562" w:firstLineChars="200"/>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六、投标报价</w:t>
      </w:r>
    </w:p>
    <w:p w14:paraId="0962EAB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控制价</w:t>
      </w:r>
    </w:p>
    <w:p w14:paraId="65E75A4F">
      <w:pPr>
        <w:widowControl/>
        <w:spacing w:line="500" w:lineRule="exact"/>
        <w:ind w:firstLine="482" w:firstLineChars="20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采购预算控制金额：博爱县三家最大商超均价平均值的100%</w:t>
      </w:r>
    </w:p>
    <w:p w14:paraId="6F6CF32D">
      <w:pPr>
        <w:widowControl/>
        <w:spacing w:line="500" w:lineRule="exact"/>
        <w:ind w:firstLine="482" w:firstLineChars="20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投标报价（%）＝1-折扣率。</w:t>
      </w:r>
    </w:p>
    <w:p w14:paraId="30A3F6C7">
      <w:pPr>
        <w:widowControl/>
        <w:spacing w:line="500" w:lineRule="exact"/>
        <w:ind w:firstLine="482" w:firstLineChars="20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注：折扣率是指价格减让与原价的百分比，折扣率=（原件-现价）/原价*100%。</w:t>
      </w:r>
    </w:p>
    <w:p w14:paraId="7B6E45FC">
      <w:pPr>
        <w:widowControl/>
        <w:spacing w:line="500" w:lineRule="exact"/>
        <w:ind w:firstLine="482" w:firstLineChars="200"/>
        <w:rPr>
          <w:rFonts w:hint="eastAsia" w:ascii="宋体" w:hAnsi="宋体" w:cs="宋体"/>
          <w:color w:val="auto"/>
          <w:kern w:val="0"/>
          <w:sz w:val="24"/>
          <w:highlight w:val="none"/>
        </w:rPr>
      </w:pPr>
      <w:r>
        <w:rPr>
          <w:rFonts w:hint="eastAsia" w:ascii="宋体" w:hAnsi="宋体" w:cs="宋体"/>
          <w:b/>
          <w:bCs/>
          <w:color w:val="auto"/>
          <w:kern w:val="0"/>
          <w:sz w:val="24"/>
          <w:highlight w:val="none"/>
          <w:lang w:val="en-US" w:eastAsia="zh-CN"/>
        </w:rPr>
        <w:t xml:space="preserve"> 供应商的投标报价高于采购预算控制金额的视为无效报价，其投标予以拒绝；当成交人的投标价高于控制价的95%时，该成交人的成交价按控制价的95%执行。</w:t>
      </w:r>
    </w:p>
    <w:p w14:paraId="507FD60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投标报价</w:t>
      </w:r>
    </w:p>
    <w:p w14:paraId="5343E94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2.1 投标报价应包括竞争性谈判文件确定采购范围的全部工作内容，以及其响应文件编制与递交所涉及的一切费用。供应商以人民币为计量币种报价，并以人民币币种签约、结算。</w:t>
      </w:r>
    </w:p>
    <w:p w14:paraId="6F58E48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2.2 供应商的投标报价应包括货物本身的费用、包装费、运输费、装卸费、运输过程保险费、安装费、质量保证费、相关的伴随服务费、货物本身已支付或将支付的各种税费以及其它交付使用前的所有费用。</w:t>
      </w:r>
    </w:p>
    <w:p w14:paraId="40437DBC">
      <w:pPr>
        <w:spacing w:line="500" w:lineRule="exact"/>
        <w:ind w:firstLine="480" w:firstLineChars="200"/>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pacing w:line="500" w:lineRule="exact"/>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七、谈判程序</w:t>
      </w:r>
    </w:p>
    <w:p w14:paraId="1B62A08B">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 采购程序</w:t>
      </w:r>
    </w:p>
    <w:p w14:paraId="31B5BFF3">
      <w:pPr>
        <w:widowControl/>
        <w:spacing w:line="500" w:lineRule="exact"/>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1.采购人在规定的投标截止时间（开标时间）和投标须知前附表规定的地点公开开标。本项目采用“远程不见面”的开标方式,载明远程开标大厅网址（</w:t>
      </w:r>
      <w:r>
        <w:rPr>
          <w:rFonts w:hint="eastAsia" w:ascii="宋体" w:hAnsi="宋体" w:cs="宋体"/>
          <w:color w:val="000000" w:themeColor="text1"/>
          <w:kern w:val="0"/>
          <w:sz w:val="24"/>
          <w:highlight w:val="none"/>
          <w:lang w:eastAsia="zh-CN"/>
          <w14:textFill>
            <w14:solidFill>
              <w14:schemeClr w14:val="tx1"/>
            </w14:solidFill>
          </w14:textFill>
        </w:rPr>
        <w:t>https://ggzy.jiaozuo.gov.cn/BidOpeningHall/bidhall/dqhnjz/login.html</w:t>
      </w:r>
      <w:r>
        <w:rPr>
          <w:rFonts w:hint="eastAsia" w:ascii="宋体" w:hAnsi="宋体" w:cs="宋体"/>
          <w:color w:val="000000" w:themeColor="text1"/>
          <w:kern w:val="0"/>
          <w:sz w:val="24"/>
          <w:highlight w:val="none"/>
          <w14:textFill>
            <w14:solidFill>
              <w14:schemeClr w14:val="tx1"/>
            </w14:solidFill>
          </w14:textFill>
        </w:rPr>
        <w:t>）。供应商无需到现场参加开标会议，无需到达现场提交原件资料。登录远程不见面开标大厅，在线准时参加开标活动。在规定时间内响应性文件未解密的供应商，视为放弃投标。</w:t>
      </w:r>
    </w:p>
    <w:p w14:paraId="2491A3B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2.所有</w:t>
      </w:r>
      <w:r>
        <w:rPr>
          <w:rFonts w:hint="eastAsia" w:ascii="宋体" w:hAnsi="宋体" w:cs="宋体"/>
          <w:bCs/>
          <w:color w:val="000000" w:themeColor="text1"/>
          <w:kern w:val="0"/>
          <w:sz w:val="24"/>
          <w:highlight w:val="none"/>
          <w14:textFill>
            <w14:solidFill>
              <w14:schemeClr w14:val="tx1"/>
            </w14:solidFill>
          </w14:textFill>
        </w:rPr>
        <w:t>响应性</w:t>
      </w:r>
      <w:r>
        <w:rPr>
          <w:rFonts w:hint="eastAsia" w:ascii="宋体" w:hAnsi="宋体" w:cs="宋体"/>
          <w:color w:val="000000" w:themeColor="text1"/>
          <w:kern w:val="0"/>
          <w:sz w:val="24"/>
          <w:highlight w:val="none"/>
          <w14:textFill>
            <w14:solidFill>
              <w14:schemeClr w14:val="tx1"/>
            </w14:solidFill>
          </w14:textFill>
        </w:rPr>
        <w:t>文件必须在本竞争性谈判文件中规定的</w:t>
      </w:r>
      <w:r>
        <w:rPr>
          <w:rFonts w:hint="eastAsia" w:ascii="宋体" w:hAnsi="宋体" w:cs="宋体"/>
          <w:color w:val="000000" w:themeColor="text1"/>
          <w:sz w:val="24"/>
          <w:highlight w:val="none"/>
          <w14:textFill>
            <w14:solidFill>
              <w14:schemeClr w14:val="tx1"/>
            </w14:solidFill>
          </w14:textFill>
        </w:rPr>
        <w:t>时间进行签到、文件解密、答疑澄清等</w:t>
      </w:r>
      <w:r>
        <w:rPr>
          <w:rFonts w:hint="eastAsia" w:ascii="宋体" w:hAnsi="宋体" w:cs="宋体"/>
          <w:color w:val="000000" w:themeColor="text1"/>
          <w:kern w:val="0"/>
          <w:sz w:val="24"/>
          <w:highlight w:val="none"/>
          <w14:textFill>
            <w14:solidFill>
              <w14:schemeClr w14:val="tx1"/>
            </w14:solidFill>
          </w14:textFill>
        </w:rPr>
        <w:t>，不能按时上传、解密者视为自动放弃投标。</w:t>
      </w:r>
    </w:p>
    <w:p w14:paraId="0243A16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3.供应商不足3家的，不得开标。  </w:t>
      </w:r>
    </w:p>
    <w:p w14:paraId="77934C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tabs>
          <w:tab w:val="left" w:pos="9127"/>
        </w:tabs>
        <w:spacing w:line="500" w:lineRule="exact"/>
        <w:ind w:right="-53" w:rightChars="-25"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供应商应准时参加开标会议，不能按时上传、解密者视为自动放弃投标。</w:t>
      </w:r>
    </w:p>
    <w:p w14:paraId="2DF50B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会议由</w:t>
      </w:r>
      <w:r>
        <w:rPr>
          <w:rFonts w:hint="eastAsia" w:ascii="宋体" w:hAnsi="宋体" w:cs="宋体"/>
          <w:color w:val="000000" w:themeColor="text1"/>
          <w:kern w:val="0"/>
          <w:sz w:val="24"/>
          <w:highlight w:val="none"/>
          <w:lang w:eastAsia="zh-CN"/>
          <w14:textFill>
            <w14:solidFill>
              <w14:schemeClr w14:val="tx1"/>
            </w14:solidFill>
          </w14:textFill>
        </w:rPr>
        <w:t>河南众成工程管理有限公司</w:t>
      </w:r>
      <w:r>
        <w:rPr>
          <w:rFonts w:hint="eastAsia" w:ascii="宋体" w:hAnsi="宋体" w:cs="宋体"/>
          <w:color w:val="000000" w:themeColor="text1"/>
          <w:kern w:val="0"/>
          <w:sz w:val="24"/>
          <w:highlight w:val="none"/>
          <w14:textFill>
            <w14:solidFill>
              <w14:schemeClr w14:val="tx1"/>
            </w14:solidFill>
          </w14:textFill>
        </w:rPr>
        <w:t>主持：</w:t>
      </w:r>
    </w:p>
    <w:p w14:paraId="2CCA694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6.1公布在投标截止时间前递交响应性文件的供应商名称；</w:t>
      </w:r>
    </w:p>
    <w:p w14:paraId="6C35EFA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6.2供应商通过电子招标投标交易平台对已递交的电子响应性文件在规定时间内进行解密；</w:t>
      </w:r>
    </w:p>
    <w:p w14:paraId="6C37ED93">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6.3批量导入文件；</w:t>
      </w:r>
    </w:p>
    <w:p w14:paraId="3C45C906">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采购人、监督人等有关人员按具体现场系统情况在开标记录上签字确认；</w:t>
      </w:r>
    </w:p>
    <w:p w14:paraId="5C3DCDE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开标结束。</w:t>
      </w:r>
    </w:p>
    <w:p w14:paraId="4A123319">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6</w:t>
      </w:r>
      <w:r>
        <w:rPr>
          <w:rFonts w:hint="eastAsia" w:ascii="宋体" w:hAnsi="宋体" w:cs="宋体"/>
          <w:color w:val="000000" w:themeColor="text1"/>
          <w:kern w:val="0"/>
          <w:sz w:val="24"/>
          <w:highlight w:val="none"/>
          <w14:textFill>
            <w14:solidFill>
              <w14:schemeClr w14:val="tx1"/>
            </w14:solidFill>
          </w14:textFill>
        </w:rPr>
        <w:t>开标异议</w:t>
      </w:r>
    </w:p>
    <w:p w14:paraId="373F27C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供应商对开标有异议的，应当在开标现场提出（</w:t>
      </w:r>
      <w:bookmarkStart w:id="18" w:name="_Toc12998"/>
      <w:r>
        <w:rPr>
          <w:rFonts w:hint="eastAsia" w:ascii="宋体" w:hAnsi="宋体" w:cs="宋体"/>
          <w:color w:val="000000" w:themeColor="text1"/>
          <w:kern w:val="0"/>
          <w:sz w:val="24"/>
          <w:highlight w:val="none"/>
          <w14:textFill>
            <w14:solidFill>
              <w14:schemeClr w14:val="tx1"/>
            </w14:solidFill>
          </w14:textFill>
        </w:rPr>
        <w:t>语音异议</w:t>
      </w:r>
      <w:bookmarkEnd w:id="18"/>
      <w:r>
        <w:rPr>
          <w:rFonts w:hint="eastAsia" w:ascii="宋体" w:hAnsi="宋体" w:cs="宋体"/>
          <w:color w:val="000000" w:themeColor="text1"/>
          <w:kern w:val="0"/>
          <w:sz w:val="24"/>
          <w:highlight w:val="none"/>
          <w14:textFill>
            <w14:solidFill>
              <w14:schemeClr w14:val="tx1"/>
            </w14:solidFill>
          </w14:textFill>
        </w:rPr>
        <w:t>、</w:t>
      </w:r>
      <w:bookmarkStart w:id="19" w:name="_Toc20745"/>
      <w:r>
        <w:rPr>
          <w:rFonts w:hint="eastAsia" w:ascii="宋体" w:hAnsi="宋体" w:cs="宋体"/>
          <w:color w:val="000000" w:themeColor="text1"/>
          <w:kern w:val="0"/>
          <w:sz w:val="24"/>
          <w:highlight w:val="none"/>
          <w14:textFill>
            <w14:solidFill>
              <w14:schemeClr w14:val="tx1"/>
            </w14:solidFill>
          </w14:textFill>
        </w:rPr>
        <w:t>文字异议</w:t>
      </w:r>
      <w:bookmarkEnd w:id="19"/>
      <w:r>
        <w:rPr>
          <w:rFonts w:hint="eastAsia" w:ascii="宋体" w:hAnsi="宋体" w:cs="宋体"/>
          <w:color w:val="000000" w:themeColor="text1"/>
          <w:kern w:val="0"/>
          <w:sz w:val="24"/>
          <w:highlight w:val="none"/>
          <w14:textFill>
            <w14:solidFill>
              <w14:schemeClr w14:val="tx1"/>
            </w14:solidFill>
          </w14:textFill>
        </w:rPr>
        <w:t>），采购人当场作出答复，并制作记录。</w:t>
      </w:r>
    </w:p>
    <w:p w14:paraId="0CE644D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6.8开标异常处理</w:t>
      </w:r>
    </w:p>
    <w:p w14:paraId="78EB47B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当出现以下情况时，应对未开标的项目中止电子开标，对原有资料及信息作出妥善保密处理，并在恢复正常后及时安排时间开标：</w:t>
      </w:r>
    </w:p>
    <w:p w14:paraId="752A207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6.8.1 系统服务器发生故障，无法访问或无法使用系统；</w:t>
      </w:r>
    </w:p>
    <w:p w14:paraId="6C2DA83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6.8.2 系统的软件或数据库出现错误，不能进行正常操作；</w:t>
      </w:r>
    </w:p>
    <w:p w14:paraId="2E9A239D">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6.8.3 系统发现有安全漏洞，有潜在的泄密危险；</w:t>
      </w:r>
    </w:p>
    <w:p w14:paraId="6A55005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6.8.4 出现断电事故且短时间内无法恢复供电；</w:t>
      </w:r>
    </w:p>
    <w:p w14:paraId="59FB26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6.8.5 其他无法保证招投标过程正常进行的情形；</w:t>
      </w:r>
    </w:p>
    <w:p w14:paraId="1306CA15">
      <w:pPr>
        <w:spacing w:line="500" w:lineRule="exact"/>
        <w:ind w:firstLine="480" w:firstLineChars="200"/>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6.9合格供应商不足3家的，将不再评标</w:t>
      </w:r>
      <w:r>
        <w:rPr>
          <w:rFonts w:hint="eastAsia" w:ascii="宋体" w:hAnsi="宋体" w:cs="宋体"/>
          <w:color w:val="000000" w:themeColor="text1"/>
          <w:kern w:val="0"/>
          <w:sz w:val="24"/>
          <w:highlight w:val="none"/>
          <w:lang w:eastAsia="zh-CN"/>
          <w14:textFill>
            <w14:solidFill>
              <w14:schemeClr w14:val="tx1"/>
            </w14:solidFill>
          </w14:textFill>
        </w:rPr>
        <w:t>。</w:t>
      </w:r>
    </w:p>
    <w:p w14:paraId="0683534F">
      <w:pPr>
        <w:numPr>
          <w:ilvl w:val="0"/>
          <w:numId w:val="0"/>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r>
        <w:rPr>
          <w:rFonts w:hint="eastAsia" w:ascii="宋体" w:hAnsi="宋体" w:cs="宋体"/>
          <w:color w:val="000000" w:themeColor="text1"/>
          <w:kern w:val="0"/>
          <w:sz w:val="24"/>
          <w:highlight w:val="none"/>
          <w14:textFill>
            <w14:solidFill>
              <w14:schemeClr w14:val="tx1"/>
            </w14:solidFill>
          </w14:textFill>
        </w:rPr>
        <w:t>组建谈判小组</w:t>
      </w:r>
    </w:p>
    <w:p w14:paraId="771FC2B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7.1采购人根据采购项目的特点依法组建竞争性谈判小组。</w:t>
      </w:r>
    </w:p>
    <w:p w14:paraId="187D7EC3">
      <w:pPr>
        <w:spacing w:line="50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进入谈判阶段，谈判小组由3人组成。谈判小组由采购人代表和政府采购专家库中随机抽取的评审专家共3人组成</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2174ACA0">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 谈判小组负责具体的评标事务，并独立履行以下职责：</w:t>
      </w:r>
    </w:p>
    <w:p w14:paraId="140F28E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7.2.1审查、评价响应性文件是否符合谈判文件的实质性要求；</w:t>
      </w:r>
    </w:p>
    <w:p w14:paraId="24A1EB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7.2.2要求供应商对响应性文件有关事项作出澄清或者说明；</w:t>
      </w:r>
    </w:p>
    <w:p w14:paraId="72DF2FC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7.2.3对响应性文件进行比较和评价；</w:t>
      </w:r>
    </w:p>
    <w:p w14:paraId="773889C8">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7.2.4推荐成交供应商名单；</w:t>
      </w:r>
    </w:p>
    <w:p w14:paraId="4F0AA92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7.2.5 向采购人、采购代理机构或者有关部门报告评标中发现的违法行为。</w:t>
      </w:r>
    </w:p>
    <w:p w14:paraId="6709165C">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7.4无法及时补足谈判小组成员的，采购人或者采购代理机构应当停止评标活动，封存所有响应性文件和开标、评标资料，依法重新组建谈判小组进行评标。原谈判小组所作出的评标意见无效。</w:t>
      </w:r>
    </w:p>
    <w:p w14:paraId="720AC2D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7.5采购人或者采购代理机构应当将变更、重新组建谈判小组的情况予以记录，并随采购文件一并存档。</w:t>
      </w:r>
    </w:p>
    <w:p w14:paraId="21E0F1AB">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7.6谈判小组应当对符合资格的供应商的响应性文件进行资格性审查，以确定其是否满足竞争性谈判文件的实质性要求。</w:t>
      </w:r>
    </w:p>
    <w:p w14:paraId="4DA3FEDE">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8.符合性审查 </w:t>
      </w:r>
    </w:p>
    <w:p w14:paraId="5E96F5D4">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8.3实质性响应的投标是指与谈判文件的全部条款、条件和规格相符，没有重大偏离。</w:t>
      </w:r>
    </w:p>
    <w:p w14:paraId="5962D4DA">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8.5如果响应性文件实质上没有响应谈判文件的要求，将作为无效投标处理，供应商不得再对响应性文件进行任何修正从而使其投标成为实质上响应的投标。</w:t>
      </w:r>
    </w:p>
    <w:p w14:paraId="0CEDB5E5">
      <w:p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8.6竞争性谈判小组审定响应文件的响应性只根据响应文件本身的内容而不寻求外部证据。</w:t>
      </w:r>
    </w:p>
    <w:p w14:paraId="1667C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8.7竞争性谈判小组对竞争性谈判响应文件进行审查、质疑、评估和比较。</w:t>
      </w:r>
    </w:p>
    <w:p w14:paraId="25AF877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pacing w:line="500" w:lineRule="exact"/>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投标供应商在系统进行第二轮报价时，需以附件方式上传第二轮报价表电子版(PDF格式)，未提供第二轮报价表电子版（PDF）的视为无效标处理。</w:t>
      </w:r>
    </w:p>
    <w:p w14:paraId="51D768A4">
      <w:pPr>
        <w:widowControl/>
        <w:autoSpaceDE w:val="0"/>
        <w:autoSpaceDN w:val="0"/>
        <w:spacing w:line="360" w:lineRule="auto"/>
        <w:ind w:firstLine="482"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投标供应商的第二轮报价如高于第一轮报价，则该投标供应商的投标价以第一轮报价为准</w:t>
      </w:r>
      <w:r>
        <w:rPr>
          <w:rFonts w:hint="eastAsia" w:ascii="宋体" w:hAnsi="宋体" w:cs="宋体"/>
          <w:b/>
          <w:bCs/>
          <w:color w:val="000000" w:themeColor="text1"/>
          <w:kern w:val="0"/>
          <w:sz w:val="24"/>
          <w:highlight w:val="none"/>
          <w14:textFill>
            <w14:solidFill>
              <w14:schemeClr w14:val="tx1"/>
            </w14:solidFill>
          </w14:textFill>
        </w:rPr>
        <w:t>。</w:t>
      </w:r>
    </w:p>
    <w:p w14:paraId="4FD6330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9.根据符合采购需求报价最低，将投标报价按由低到高的顺序进行排序，推荐3名成交候选供应商。</w:t>
      </w:r>
    </w:p>
    <w:p w14:paraId="67701FA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11.签订合同：</w:t>
      </w:r>
      <w:r>
        <w:rPr>
          <w:rFonts w:hint="eastAsia" w:ascii="宋体" w:hAnsi="宋体" w:cs="宋体"/>
          <w:color w:val="000000" w:themeColor="text1"/>
          <w:sz w:val="24"/>
          <w:highlight w:val="none"/>
          <w14:textFill>
            <w14:solidFill>
              <w14:schemeClr w14:val="tx1"/>
            </w14:solidFill>
          </w14:textFill>
        </w:rPr>
        <w:t>成交通知书发出之日起15日内， 按照竞争性谈判文件确定的事项签订政府采购合同。采购人与成交人签订政府采购合同。合同中的主要条款要与竞争性谈判文件中的合同条款一致。</w:t>
      </w:r>
    </w:p>
    <w:p w14:paraId="14790C4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color w:val="000000" w:themeColor="text1"/>
          <w:kern w:val="0"/>
          <w:sz w:val="24"/>
          <w:highlight w:val="none"/>
          <w:lang w:val="en-US" w:eastAsia="zh-CN"/>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.在谈判期间，供应商不得向竞争性谈判小组成员询问其它供应商谈判情况，不得进行影响成交结果的活动。</w:t>
      </w:r>
    </w:p>
    <w:p w14:paraId="02D7A01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采购小组不向未成交方解释原因，不退还响应文件。</w:t>
      </w:r>
    </w:p>
    <w:p w14:paraId="7788F6A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（三）采购成交原则</w:t>
      </w:r>
    </w:p>
    <w:p w14:paraId="5C6B0230">
      <w:pPr>
        <w:widowControl/>
        <w:numPr>
          <w:ilvl w:val="0"/>
          <w:numId w:val="3"/>
        </w:numPr>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成交原则和方法</w:t>
      </w:r>
    </w:p>
    <w:p w14:paraId="103FDB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1.1 公开、公平、公正</w:t>
      </w:r>
    </w:p>
    <w:p w14:paraId="7CC760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1.2 技术可行，措施得当</w:t>
      </w:r>
    </w:p>
    <w:p w14:paraId="07D5A4B3">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1.3 符合采购需求,价格低者优先成交。在价格同等情况下，依次按质量及服务、提供的优惠条件等进行排序，推荐3名成交候选供应商。</w:t>
      </w:r>
    </w:p>
    <w:p w14:paraId="2A1C094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2.竞争性谈判小组对每个参加采购单位的响应文件的实质内容进行比较。</w:t>
      </w:r>
    </w:p>
    <w:p w14:paraId="109C764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3.竞争性谈判小组将符合竞争性谈判文件规定的最终有效投标报价按由低到高顺序排序，推荐3名成交候选供应商。</w:t>
      </w:r>
    </w:p>
    <w:p w14:paraId="5D72764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040E5A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6.对小微企业投标的扶持：</w:t>
      </w:r>
    </w:p>
    <w:p w14:paraId="1A7ACB52">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hint="eastAsia" w:ascii="宋体" w:hAnsi="宋体" w:cs="宋体"/>
          <w:color w:val="000000" w:themeColor="text1"/>
          <w:kern w:val="0"/>
          <w:sz w:val="24"/>
          <w:highlight w:val="none"/>
          <w:lang w:val="en-US" w:eastAsia="zh-CN"/>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小微企业应当提供《中小企业声明函》(见格式)。</w:t>
      </w:r>
    </w:p>
    <w:p w14:paraId="73D6CC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6.2</w:t>
      </w:r>
      <w:r>
        <w:rPr>
          <w:rFonts w:hint="eastAsia" w:ascii="宋体" w:hAnsi="宋体" w:cs="宋体"/>
          <w:color w:val="000000" w:themeColor="text1"/>
          <w:kern w:val="0"/>
          <w:sz w:val="24"/>
          <w:highlight w:val="none"/>
          <w14:textFill>
            <w14:solidFill>
              <w14:schemeClr w14:val="tx1"/>
            </w14:solidFill>
          </w14:textFill>
        </w:rPr>
        <w:t>按照《政府采购促进中小企业发展管理办法》有关规定，中小企业的标准为：</w:t>
      </w:r>
    </w:p>
    <w:p w14:paraId="1276D20E">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6.2.1提供本企业制造的货物、承担的工程或者服务，或者提供其他中小企业制造的货物，不包括提供或使用大型企业注册商标的货物；</w:t>
      </w:r>
    </w:p>
    <w:p w14:paraId="73652864">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6.2.2本规定所称中小企业划分标准，是指国务院有关部门根据企业从业人员、营业收入、资产总额等指标制定的中小企业划型标准(工信部联企业[2011]300号)；</w:t>
      </w:r>
    </w:p>
    <w:p w14:paraId="0ACB853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6.2.3小型、微型企业提供有中型企业制造的货物的，视同为中型企业；小型、微型、中型企业提供有大型企业制造的货物的，视同为大型企业。</w:t>
      </w:r>
    </w:p>
    <w:p w14:paraId="3CC205EA">
      <w:pPr>
        <w:widowControl/>
        <w:numPr>
          <w:ilvl w:val="0"/>
          <w:numId w:val="0"/>
        </w:numPr>
        <w:spacing w:line="500" w:lineRule="exact"/>
        <w:ind w:left="0" w:lef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w:t>
      </w:r>
      <w:r>
        <w:rPr>
          <w:rFonts w:hint="eastAsia" w:ascii="宋体" w:hAnsi="宋体" w:cs="宋体"/>
          <w:color w:val="000000" w:themeColor="text1"/>
          <w:kern w:val="0"/>
          <w:sz w:val="24"/>
          <w:highlight w:val="none"/>
          <w14:textFill>
            <w14:solidFill>
              <w14:schemeClr w14:val="tx1"/>
            </w14:solidFill>
          </w14:textFill>
        </w:rPr>
        <w:t>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w:t>
      </w:r>
    </w:p>
    <w:p w14:paraId="3AFF488C">
      <w:pPr>
        <w:widowControl/>
        <w:numPr>
          <w:ilvl w:val="0"/>
          <w:numId w:val="0"/>
        </w:numPr>
        <w:spacing w:line="360" w:lineRule="auto"/>
        <w:ind w:firstLine="482" w:firstLineChars="200"/>
        <w:rPr>
          <w:rFonts w:hint="eastAsia"/>
        </w:rPr>
      </w:pPr>
      <w:r>
        <w:rPr>
          <w:rFonts w:hint="eastAsia" w:ascii="宋体" w:hAnsi="宋体"/>
          <w:b/>
          <w:bCs/>
          <w:color w:val="auto"/>
          <w:kern w:val="0"/>
          <w:sz w:val="24"/>
          <w:highlight w:val="none"/>
        </w:rPr>
        <w:t>本</w:t>
      </w:r>
      <w:r>
        <w:rPr>
          <w:rFonts w:hint="eastAsia" w:ascii="宋体" w:hAnsi="宋体"/>
          <w:b/>
          <w:bCs/>
          <w:color w:val="auto"/>
          <w:kern w:val="0"/>
          <w:sz w:val="24"/>
          <w:highlight w:val="none"/>
          <w:lang w:val="en-US" w:eastAsia="zh-CN"/>
        </w:rPr>
        <w:t>项目全部面向中小企业采购，供应商需提供中小企业声明函。</w:t>
      </w:r>
    </w:p>
    <w:p w14:paraId="4577E41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（四）参加竞争性谈判单位的响应文件有下列情况之一的，视为无效响应文件。</w:t>
      </w:r>
    </w:p>
    <w:p w14:paraId="2375CC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未按竞争性谈判文件明示的规定签字或盖章的；</w:t>
      </w:r>
    </w:p>
    <w:p w14:paraId="7924C0F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响应文件的关键内容（投标报价、</w:t>
      </w:r>
      <w:r>
        <w:rPr>
          <w:rFonts w:hint="eastAsia" w:ascii="宋体" w:hAnsi="宋体" w:cs="宋体"/>
          <w:color w:val="000000" w:themeColor="text1"/>
          <w:kern w:val="0"/>
          <w:sz w:val="24"/>
          <w:highlight w:val="none"/>
          <w:lang w:val="en-US" w:eastAsia="zh-CN"/>
          <w14:textFill>
            <w14:solidFill>
              <w14:schemeClr w14:val="tx1"/>
            </w14:solidFill>
          </w14:textFill>
        </w:rPr>
        <w:t>服务期限、质量要求等</w:t>
      </w:r>
      <w:r>
        <w:rPr>
          <w:rFonts w:hint="eastAsia" w:ascii="宋体" w:hAnsi="宋体" w:cs="宋体"/>
          <w:color w:val="000000" w:themeColor="text1"/>
          <w:kern w:val="0"/>
          <w:sz w:val="24"/>
          <w:highlight w:val="none"/>
          <w14:textFill>
            <w14:solidFill>
              <w14:schemeClr w14:val="tx1"/>
            </w14:solidFill>
          </w14:textFill>
        </w:rPr>
        <w:t>）未填写</w:t>
      </w:r>
      <w:r>
        <w:rPr>
          <w:rFonts w:hint="eastAsia" w:ascii="宋体" w:hAnsi="宋体"/>
          <w:color w:val="000000" w:themeColor="text1"/>
          <w:kern w:val="0"/>
          <w:sz w:val="24"/>
          <w:highlight w:val="none"/>
          <w14:textFill>
            <w14:solidFill>
              <w14:schemeClr w14:val="tx1"/>
            </w14:solidFill>
          </w14:textFill>
        </w:rPr>
        <w:t>或填写字迹模糊、达不到采购要求的</w:t>
      </w:r>
      <w:r>
        <w:rPr>
          <w:rFonts w:hint="eastAsia" w:ascii="宋体" w:hAnsi="宋体" w:cs="宋体"/>
          <w:color w:val="000000" w:themeColor="text1"/>
          <w:kern w:val="0"/>
          <w:sz w:val="24"/>
          <w:highlight w:val="none"/>
          <w14:textFill>
            <w14:solidFill>
              <w14:schemeClr w14:val="tx1"/>
            </w14:solidFill>
          </w14:textFill>
        </w:rPr>
        <w:t>；</w:t>
      </w:r>
    </w:p>
    <w:p w14:paraId="120AA4D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采购报价超出控制价的；</w:t>
      </w:r>
    </w:p>
    <w:p w14:paraId="3D61692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 响应文件中对同一项目有两个或多个报价，且未声明哪一个有效的；</w:t>
      </w:r>
    </w:p>
    <w:p w14:paraId="5D0BA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 相关资格证明文件不合格的；</w:t>
      </w:r>
    </w:p>
    <w:p w14:paraId="236DA82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 响应文件中附有采购人不能接受的条件的；</w:t>
      </w:r>
    </w:p>
    <w:p w14:paraId="40D8F008">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 响应文件有明显不符合竞争性谈判文件其它要求和有关法律法规的；</w:t>
      </w:r>
    </w:p>
    <w:p w14:paraId="5D7D3327">
      <w:pPr>
        <w:widowControl/>
        <w:spacing w:line="500" w:lineRule="exact"/>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 评标过程中，如因两个或两个以上供应商在同一台计算或同一个IP上传响应文件，而被不见面开标系统提示为“投标文件制作机器码一致”的，则视其投标无效；</w:t>
      </w:r>
    </w:p>
    <w:p w14:paraId="27204D9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 在评审过程中，谈判小组发现投标供应商有下列情形之一的，视为相互串通投标，按照无效投标处理并依据法律、法规追究其相关责任。具体表现形式如下：</w:t>
      </w:r>
    </w:p>
    <w:p w14:paraId="60598960">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10.1 不同供应商的响应性文件由同一单位或者个人编制；</w:t>
      </w:r>
    </w:p>
    <w:p w14:paraId="65F81066">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10.2 不同供应商委托同一单位或者个人办理投标事宜；</w:t>
      </w:r>
    </w:p>
    <w:p w14:paraId="789A01CD">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10.3 不同供应商的响应性文件载明的项目管理成员或者联系人员为同一人；</w:t>
      </w:r>
    </w:p>
    <w:p w14:paraId="47441321">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10.4 不同供应商的响应性文件异常一致或者投标报价呈规律性差异；</w:t>
      </w:r>
    </w:p>
    <w:p w14:paraId="199EA3F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10.5 不同供应商的响应性文件相互混装；</w:t>
      </w:r>
    </w:p>
    <w:p w14:paraId="76061A4A">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10.6 有证据证明供应商与采购人、采购代理机构或者其他供应商串通的其他情形；</w:t>
      </w:r>
    </w:p>
    <w:p w14:paraId="632B92F9">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（五）授予合同</w:t>
      </w:r>
    </w:p>
    <w:p w14:paraId="19B251AC">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本合同将授予经过竞争性谈判小组确认的成交单位。</w:t>
      </w:r>
    </w:p>
    <w:p w14:paraId="68F3E695">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 成交人应当自成交通知书发出之日起15日内，按照竞争性谈判文件和成交人的响应文件与采购单位签订合同。</w:t>
      </w:r>
    </w:p>
    <w:p w14:paraId="6FE1DDAF">
      <w:pPr>
        <w:widowControl/>
        <w:spacing w:line="50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竞争性谈判文件、成交人的竞争性谈判文件及其澄清文件等均为签订合同的依据。</w:t>
      </w:r>
    </w:p>
    <w:p w14:paraId="43A55D64">
      <w:pPr>
        <w:pStyle w:val="10"/>
        <w:ind w:firstLine="480"/>
        <w:rPr>
          <w:rFonts w:hint="eastAsia" w:ascii="宋体" w:hAnsi="宋体"/>
          <w:color w:val="000000" w:themeColor="text1"/>
          <w:kern w:val="0"/>
          <w:sz w:val="24"/>
          <w:highlight w:val="none"/>
          <w14:textFill>
            <w14:solidFill>
              <w14:schemeClr w14:val="tx1"/>
            </w14:solidFill>
          </w14:textFill>
        </w:rPr>
      </w:pPr>
    </w:p>
    <w:p w14:paraId="39FCA2B1">
      <w:pPr>
        <w:pStyle w:val="21"/>
        <w:rPr>
          <w:rFonts w:hint="eastAsia" w:ascii="宋体" w:hAnsi="宋体"/>
          <w:color w:val="000000" w:themeColor="text1"/>
          <w:highlight w:val="none"/>
          <w14:textFill>
            <w14:solidFill>
              <w14:schemeClr w14:val="tx1"/>
            </w14:solidFill>
          </w14:textFill>
        </w:rPr>
      </w:pPr>
    </w:p>
    <w:p w14:paraId="2BFA2037">
      <w:pPr>
        <w:pStyle w:val="10"/>
        <w:ind w:firstLine="480"/>
        <w:rPr>
          <w:rFonts w:hint="eastAsia" w:ascii="宋体" w:hAnsi="宋体"/>
          <w:color w:val="000000" w:themeColor="text1"/>
          <w:kern w:val="0"/>
          <w:sz w:val="24"/>
          <w:highlight w:val="none"/>
          <w14:textFill>
            <w14:solidFill>
              <w14:schemeClr w14:val="tx1"/>
            </w14:solidFill>
          </w14:textFill>
        </w:rPr>
      </w:pPr>
    </w:p>
    <w:p w14:paraId="35B2B57F">
      <w:pPr>
        <w:pStyle w:val="21"/>
        <w:rPr>
          <w:rFonts w:hint="eastAsia" w:ascii="宋体" w:hAnsi="宋体"/>
          <w:color w:val="000000" w:themeColor="text1"/>
          <w:highlight w:val="none"/>
          <w14:textFill>
            <w14:solidFill>
              <w14:schemeClr w14:val="tx1"/>
            </w14:solidFill>
          </w14:textFill>
        </w:rPr>
      </w:pPr>
    </w:p>
    <w:p w14:paraId="23E9A8F9">
      <w:pPr>
        <w:pStyle w:val="10"/>
        <w:ind w:firstLine="480"/>
        <w:rPr>
          <w:rFonts w:hint="eastAsia" w:ascii="宋体" w:hAnsi="宋体"/>
          <w:color w:val="000000" w:themeColor="text1"/>
          <w:kern w:val="0"/>
          <w:sz w:val="24"/>
          <w:highlight w:val="none"/>
          <w14:textFill>
            <w14:solidFill>
              <w14:schemeClr w14:val="tx1"/>
            </w14:solidFill>
          </w14:textFill>
        </w:rPr>
      </w:pPr>
    </w:p>
    <w:p w14:paraId="56041825">
      <w:pPr>
        <w:pStyle w:val="21"/>
        <w:rPr>
          <w:color w:val="000000" w:themeColor="text1"/>
          <w:highlight w:val="none"/>
          <w14:textFill>
            <w14:solidFill>
              <w14:schemeClr w14:val="tx1"/>
            </w14:solidFill>
          </w14:textFill>
        </w:rPr>
      </w:pPr>
    </w:p>
    <w:p w14:paraId="7D71CC70">
      <w:r>
        <w:rPr>
          <w:color w:val="000000" w:themeColor="text1"/>
          <w:highlight w:val="none"/>
          <w14:textFill>
            <w14:solidFill>
              <w14:schemeClr w14:val="tx1"/>
            </w14:solidFill>
          </w14:textFill>
        </w:rPr>
        <w:br w:type="page"/>
      </w:r>
    </w:p>
    <w:p w14:paraId="423690D8">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0" w:name="_Toc27037"/>
      <w:bookmarkStart w:id="21" w:name="_Toc2540"/>
      <w:bookmarkStart w:id="22" w:name="_Toc9332"/>
      <w:bookmarkStart w:id="23" w:name="_Toc533668870"/>
      <w:r>
        <w:rPr>
          <w:rFonts w:hint="eastAsia"/>
          <w:color w:val="000000" w:themeColor="text1"/>
          <w:kern w:val="0"/>
          <w:sz w:val="28"/>
          <w:szCs w:val="28"/>
          <w:highlight w:val="none"/>
          <w14:textFill>
            <w14:solidFill>
              <w14:schemeClr w14:val="tx1"/>
            </w14:solidFill>
          </w14:textFill>
        </w:rPr>
        <w:t>第三部分 其他要求</w:t>
      </w:r>
      <w:bookmarkEnd w:id="20"/>
      <w:bookmarkEnd w:id="21"/>
      <w:bookmarkEnd w:id="22"/>
      <w:bookmarkEnd w:id="23"/>
    </w:p>
    <w:p w14:paraId="425F95F2">
      <w:pPr>
        <w:rPr>
          <w:color w:val="000000" w:themeColor="text1"/>
          <w:highlight w:val="none"/>
          <w14:textFill>
            <w14:solidFill>
              <w14:schemeClr w14:val="tx1"/>
            </w14:solidFill>
          </w14:textFill>
        </w:rPr>
      </w:pPr>
    </w:p>
    <w:p w14:paraId="680838D5">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供应商如有不清楚的地方可与采购人和代理机构联系。采购报价应包含所有费用。成交人在成交后不得以任何理由增加任何费用。</w:t>
      </w:r>
    </w:p>
    <w:p w14:paraId="1E792E01">
      <w:pPr>
        <w:rPr>
          <w:color w:val="000000" w:themeColor="text1"/>
          <w:highlight w:val="none"/>
          <w14:textFill>
            <w14:solidFill>
              <w14:schemeClr w14:val="tx1"/>
            </w14:solidFill>
          </w14:textFill>
        </w:rPr>
      </w:pPr>
    </w:p>
    <w:p w14:paraId="29E6A20C">
      <w:pPr>
        <w:rPr>
          <w:color w:val="000000" w:themeColor="text1"/>
          <w:highlight w:val="none"/>
          <w14:textFill>
            <w14:solidFill>
              <w14:schemeClr w14:val="tx1"/>
            </w14:solidFill>
          </w14:textFill>
        </w:rPr>
      </w:pPr>
    </w:p>
    <w:p w14:paraId="0FE37D5B">
      <w:pPr>
        <w:pStyle w:val="10"/>
        <w:ind w:firstLine="420"/>
        <w:rPr>
          <w:color w:val="000000" w:themeColor="text1"/>
          <w:highlight w:val="none"/>
          <w14:textFill>
            <w14:solidFill>
              <w14:schemeClr w14:val="tx1"/>
            </w14:solidFill>
          </w14:textFill>
        </w:rPr>
      </w:pPr>
    </w:p>
    <w:p w14:paraId="254CBB1E">
      <w:pPr>
        <w:pStyle w:val="21"/>
        <w:rPr>
          <w:color w:val="000000" w:themeColor="text1"/>
          <w:highlight w:val="none"/>
          <w14:textFill>
            <w14:solidFill>
              <w14:schemeClr w14:val="tx1"/>
            </w14:solidFill>
          </w14:textFill>
        </w:rPr>
      </w:pPr>
    </w:p>
    <w:p w14:paraId="0BB32413">
      <w:pPr>
        <w:rPr>
          <w:color w:val="000000" w:themeColor="text1"/>
          <w:highlight w:val="none"/>
          <w14:textFill>
            <w14:solidFill>
              <w14:schemeClr w14:val="tx1"/>
            </w14:solidFill>
          </w14:textFill>
        </w:rPr>
      </w:pPr>
    </w:p>
    <w:p w14:paraId="727BACE3">
      <w:pPr>
        <w:pStyle w:val="2"/>
        <w:spacing w:before="0" w:after="0" w:line="360" w:lineRule="auto"/>
        <w:ind w:left="439" w:leftChars="209" w:firstLine="7509" w:firstLineChars="17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0DA48551">
      <w:pPr>
        <w:pStyle w:val="2"/>
        <w:spacing w:before="0" w:after="0" w:line="360" w:lineRule="auto"/>
        <w:jc w:val="center"/>
        <w:rPr>
          <w:color w:val="000000" w:themeColor="text1"/>
          <w:kern w:val="0"/>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4" w:name="_Toc11753"/>
      <w:r>
        <w:rPr>
          <w:rFonts w:hint="eastAsia"/>
          <w:color w:val="000000" w:themeColor="text1"/>
          <w:kern w:val="0"/>
          <w:sz w:val="28"/>
          <w:szCs w:val="28"/>
          <w:highlight w:val="none"/>
          <w14:textFill>
            <w14:solidFill>
              <w14:schemeClr w14:val="tx1"/>
            </w14:solidFill>
          </w14:textFill>
        </w:rPr>
        <w:t>第四部分 质疑与投诉</w:t>
      </w:r>
      <w:bookmarkEnd w:id="24"/>
    </w:p>
    <w:p w14:paraId="7B9B29D9">
      <w:pPr>
        <w:rPr>
          <w:color w:val="000000" w:themeColor="text1"/>
          <w:highlight w:val="none"/>
          <w14:textFill>
            <w14:solidFill>
              <w14:schemeClr w14:val="tx1"/>
            </w14:solidFill>
          </w14:textFill>
        </w:rPr>
      </w:pPr>
    </w:p>
    <w:p w14:paraId="0AA1573B">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一、质疑与答复</w:t>
      </w:r>
    </w:p>
    <w:p w14:paraId="6A9C2D66">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6"/>
        <w:spacing w:after="0" w:line="520" w:lineRule="exact"/>
        <w:ind w:left="0" w:leftChars="0"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供应商提出质疑应当提交质疑函和必要的证明材料。政府采购供应商质疑函范本下载地址：</w:t>
      </w:r>
    </w:p>
    <w:p w14:paraId="3BC3B2E2">
      <w:pPr>
        <w:pStyle w:val="26"/>
        <w:spacing w:after="0" w:line="520" w:lineRule="exact"/>
        <w:ind w:firstLine="0" w:firstLineChars="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"http://download.ccgp.gov.cn/2018/zhiyihanfanben.zip；"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http://download.ccgp.gov.cn/2018/zhiyihanfanben.zip；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DB2556D">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1124C5A">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供应商的姓名或者名称、地址、邮编、联系人及联系电话；</w:t>
      </w:r>
    </w:p>
    <w:p w14:paraId="66081B71">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质疑项目的名称、编号；</w:t>
      </w:r>
    </w:p>
    <w:p w14:paraId="6011BCE7">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具体、明确的质疑事项和与质疑事项相关的请求；</w:t>
      </w:r>
    </w:p>
    <w:p w14:paraId="2388D79D">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p>
    <w:p w14:paraId="53C478E0">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必要的法律依据；</w:t>
      </w:r>
    </w:p>
    <w:p w14:paraId="335E1739">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提出质疑的日期；</w:t>
      </w:r>
    </w:p>
    <w:p w14:paraId="3BADA41F">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获取招标文件的凭证；</w:t>
      </w:r>
    </w:p>
    <w:p w14:paraId="0F7E1EDE">
      <w:pPr>
        <w:numPr>
          <w:ilvl w:val="1"/>
          <w:numId w:val="3"/>
        </w:numPr>
        <w:spacing w:line="520" w:lineRule="exact"/>
        <w:ind w:left="420" w:left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以上资料一式二份（招标人、采购代理机构各执一份）。</w:t>
      </w:r>
    </w:p>
    <w:p w14:paraId="7472E9CF">
      <w:pPr>
        <w:numPr>
          <w:ilvl w:val="0"/>
          <w:numId w:val="3"/>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供应商不得虚假质疑和恶意质疑，并对质疑内容的真实性承担责任。</w:t>
      </w:r>
    </w:p>
    <w:p w14:paraId="1545EDC2">
      <w:pPr>
        <w:pStyle w:val="25"/>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pacing w:line="520" w:lineRule="exac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二、投诉与处理</w:t>
      </w:r>
    </w:p>
    <w:p w14:paraId="1ECB1B18">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内向本办法第六条规定的</w:t>
      </w:r>
      <w:r>
        <w:rPr>
          <w:rFonts w:hint="eastAsia" w:ascii="宋体" w:hAnsi="宋体" w:cs="宋体"/>
          <w:color w:val="000000" w:themeColor="text1"/>
          <w:sz w:val="24"/>
          <w:highlight w:val="none"/>
          <w:lang w:val="en-US" w:eastAsia="zh-CN"/>
          <w14:textFill>
            <w14:solidFill>
              <w14:schemeClr w14:val="tx1"/>
            </w14:solidFill>
          </w14:textFill>
        </w:rPr>
        <w:t>监督</w:t>
      </w:r>
      <w:r>
        <w:rPr>
          <w:rFonts w:hint="eastAsia" w:ascii="宋体" w:hAnsi="宋体" w:cs="宋体"/>
          <w:color w:val="000000" w:themeColor="text1"/>
          <w:sz w:val="24"/>
          <w:highlight w:val="none"/>
          <w14:textFill>
            <w14:solidFill>
              <w14:schemeClr w14:val="tx1"/>
            </w14:solidFill>
          </w14:textFill>
        </w:rPr>
        <w:t>部门提起投诉。</w:t>
      </w:r>
    </w:p>
    <w:p w14:paraId="70DB31AC">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2、质疑供应商对采购人、采购代理机构的答复不满意，或者采购人、采购代理机构未在规定时间内作出答复的，可以在答复期满后</w:t>
      </w:r>
      <w:r>
        <w:rPr>
          <w:rFonts w:hint="eastAsia" w:ascii="宋体" w:hAnsi="宋体" w:cs="宋体"/>
          <w:color w:val="000000" w:themeColor="text1"/>
          <w:sz w:val="24"/>
          <w:highlight w:val="none"/>
          <w:lang w:eastAsia="zh-CN"/>
          <w14:textFill>
            <w14:solidFill>
              <w14:schemeClr w14:val="tx1"/>
            </w14:solidFill>
          </w14:textFill>
        </w:rPr>
        <w:t>20日历天</w:t>
      </w:r>
      <w:r>
        <w:rPr>
          <w:rFonts w:hint="eastAsia" w:ascii="宋体" w:hAnsi="宋体" w:cs="宋体"/>
          <w:color w:val="000000" w:themeColor="text1"/>
          <w:sz w:val="24"/>
          <w:highlight w:val="none"/>
          <w14:textFill>
            <w14:solidFill>
              <w14:schemeClr w14:val="tx1"/>
            </w14:solidFill>
          </w14:textFill>
        </w:rPr>
        <w:t>内向</w:t>
      </w:r>
      <w:r>
        <w:rPr>
          <w:rFonts w:hint="eastAsia" w:ascii="宋体" w:hAnsi="宋体" w:cs="宋体"/>
          <w:color w:val="000000" w:themeColor="text1"/>
          <w:sz w:val="24"/>
          <w:highlight w:val="none"/>
          <w:lang w:val="en-US" w:eastAsia="zh-CN"/>
          <w14:textFill>
            <w14:solidFill>
              <w14:schemeClr w14:val="tx1"/>
            </w14:solidFill>
          </w14:textFill>
        </w:rPr>
        <w:t>监督</w:t>
      </w:r>
      <w:r>
        <w:rPr>
          <w:rFonts w:hint="eastAsia" w:ascii="宋体" w:hAnsi="宋体" w:cs="宋体"/>
          <w:color w:val="000000" w:themeColor="text1"/>
          <w:sz w:val="24"/>
          <w:highlight w:val="none"/>
          <w14:textFill>
            <w14:solidFill>
              <w14:schemeClr w14:val="tx1"/>
            </w14:solidFill>
          </w14:textFill>
        </w:rPr>
        <w:t>部门提起投诉。</w:t>
      </w:r>
    </w:p>
    <w:p w14:paraId="240D780A">
      <w:pPr>
        <w:pStyle w:val="25"/>
        <w:spacing w:after="0"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5"/>
        <w:spacing w:after="0" w:line="520" w:lineRule="exact"/>
        <w:ind w:firstLineChars="200"/>
        <w:rPr>
          <w:rFonts w:hint="eastAsia" w:ascii="宋体" w:hAnsi="宋体" w:cs="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"http://download.ccgp.gov.cn/2018/tousushufanben.zip" </w:instrText>
      </w:r>
      <w:r>
        <w:rPr>
          <w:color w:val="000000" w:themeColor="text1"/>
          <w:highlight w:val="none"/>
          <w14:textFill>
            <w14:solidFill>
              <w14:schemeClr w14:val="tx1"/>
            </w14:solidFill>
          </w14:textFill>
        </w:rPr>
        <w:fldChar w:fldCharType="separate"/>
      </w:r>
      <w:r>
        <w:rPr>
          <w:rStyle w:val="37"/>
          <w:rFonts w:hint="eastAsia" w:ascii="宋体" w:hAnsi="宋体" w:cs="宋体"/>
          <w:color w:val="000000" w:themeColor="text1"/>
          <w:sz w:val="24"/>
          <w:highlight w:val="none"/>
          <w14:textFill>
            <w14:solidFill>
              <w14:schemeClr w14:val="tx1"/>
            </w14:solidFill>
          </w14:textFill>
        </w:rPr>
        <w:t>http://download.ccgp.gov.cn/2018/tousushufanben.zip</w:t>
      </w:r>
      <w:r>
        <w:rPr>
          <w:rStyle w:val="37"/>
          <w:rFonts w:hint="eastAsia" w:ascii="宋体" w:hAnsi="宋体" w:cs="宋体"/>
          <w:color w:val="000000" w:themeColor="text1"/>
          <w:sz w:val="24"/>
          <w:highlight w:val="none"/>
          <w14:textFill>
            <w14:solidFill>
              <w14:schemeClr w14:val="tx1"/>
            </w14:solidFill>
          </w14:textFill>
        </w:rPr>
        <w:fldChar w:fldCharType="end"/>
      </w:r>
    </w:p>
    <w:p w14:paraId="575D9026">
      <w:pPr>
        <w:numPr>
          <w:ilvl w:val="0"/>
          <w:numId w:val="2"/>
        </w:num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监督</w:t>
      </w:r>
      <w:r>
        <w:rPr>
          <w:rFonts w:hint="eastAsia" w:ascii="宋体" w:hAnsi="宋体" w:cs="宋体"/>
          <w:color w:val="000000" w:themeColor="text1"/>
          <w:sz w:val="24"/>
          <w:highlight w:val="none"/>
          <w14:textFill>
            <w14:solidFill>
              <w14:schemeClr w14:val="tx1"/>
            </w14:solidFill>
          </w14:textFill>
        </w:rPr>
        <w:t>部门自收到投诉之日起30个工作日内，对投诉事项作出处理决定并公示。</w:t>
      </w:r>
    </w:p>
    <w:p w14:paraId="3B6FD700">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投诉人在全国范围12个月内三次以上投诉查无实据的，由</w:t>
      </w:r>
      <w:r>
        <w:rPr>
          <w:rFonts w:hint="eastAsia" w:ascii="宋体" w:hAnsi="宋体" w:cs="宋体"/>
          <w:color w:val="000000" w:themeColor="text1"/>
          <w:sz w:val="24"/>
          <w:highlight w:val="none"/>
          <w:lang w:eastAsia="zh-CN"/>
          <w14:textFill>
            <w14:solidFill>
              <w14:schemeClr w14:val="tx1"/>
            </w14:solidFill>
          </w14:textFill>
        </w:rPr>
        <w:t>监督部门</w:t>
      </w:r>
      <w:r>
        <w:rPr>
          <w:rFonts w:hint="eastAsia" w:ascii="宋体" w:hAnsi="宋体" w:cs="宋体"/>
          <w:color w:val="000000" w:themeColor="text1"/>
          <w:sz w:val="24"/>
          <w:highlight w:val="none"/>
          <w14:textFill>
            <w14:solidFill>
              <w14:schemeClr w14:val="tx1"/>
            </w14:solidFill>
          </w14:textFill>
        </w:rPr>
        <w:t>列入不良行为记录名单。</w:t>
      </w:r>
    </w:p>
    <w:p w14:paraId="4C97E2A2">
      <w:pPr>
        <w:spacing w:line="52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投诉人有财政部94号令第三十七条情形的，属于虚假、恶意投诉，由</w:t>
      </w:r>
      <w:r>
        <w:rPr>
          <w:rFonts w:hint="eastAsia" w:ascii="宋体" w:hAnsi="宋体" w:cs="宋体"/>
          <w:color w:val="000000" w:themeColor="text1"/>
          <w:sz w:val="24"/>
          <w:highlight w:val="none"/>
          <w:lang w:eastAsia="zh-CN"/>
          <w14:textFill>
            <w14:solidFill>
              <w14:schemeClr w14:val="tx1"/>
            </w14:solidFill>
          </w14:textFill>
        </w:rPr>
        <w:t>监督部门</w:t>
      </w:r>
      <w:r>
        <w:rPr>
          <w:rFonts w:hint="eastAsia" w:ascii="宋体" w:hAnsi="宋体" w:cs="宋体"/>
          <w:color w:val="000000" w:themeColor="text1"/>
          <w:sz w:val="24"/>
          <w:highlight w:val="none"/>
          <w14:textFill>
            <w14:solidFill>
              <w14:schemeClr w14:val="tx1"/>
            </w14:solidFill>
          </w14:textFill>
        </w:rPr>
        <w:t>列入不良行为记录名单，禁止其1至3年内参加政府采购活动。</w:t>
      </w:r>
      <w:bookmarkStart w:id="25" w:name="_Toc28662"/>
      <w:bookmarkStart w:id="26" w:name="_Toc533668873"/>
      <w:bookmarkStart w:id="27" w:name="_Toc4037"/>
    </w:p>
    <w:p w14:paraId="79DE2D33">
      <w:pPr>
        <w:pStyle w:val="2"/>
        <w:spacing w:before="0" w:after="0" w:line="520" w:lineRule="exact"/>
        <w:rPr>
          <w:color w:val="000000" w:themeColor="text1"/>
          <w:highlight w:val="none"/>
          <w14:textFill>
            <w14:solidFill>
              <w14:schemeClr w14:val="tx1"/>
            </w14:solidFill>
          </w14:textFill>
        </w:rPr>
      </w:pPr>
    </w:p>
    <w:p w14:paraId="5B790140">
      <w:pPr>
        <w:spacing w:line="520" w:lineRule="exact"/>
        <w:rPr>
          <w:color w:val="000000" w:themeColor="text1"/>
          <w:highlight w:val="none"/>
          <w14:textFill>
            <w14:solidFill>
              <w14:schemeClr w14:val="tx1"/>
            </w14:solidFill>
          </w14:textFill>
        </w:rPr>
      </w:pPr>
    </w:p>
    <w:p w14:paraId="688EA395">
      <w:pPr>
        <w:rPr>
          <w:color w:val="000000" w:themeColor="text1"/>
          <w:highlight w:val="none"/>
          <w14:textFill>
            <w14:solidFill>
              <w14:schemeClr w14:val="tx1"/>
            </w14:solidFill>
          </w14:textFill>
        </w:rPr>
      </w:pPr>
    </w:p>
    <w:p w14:paraId="43266ABD">
      <w:pPr>
        <w:rPr>
          <w:color w:val="000000" w:themeColor="text1"/>
          <w:highlight w:val="none"/>
          <w14:textFill>
            <w14:solidFill>
              <w14:schemeClr w14:val="tx1"/>
            </w14:solidFill>
          </w14:textFill>
        </w:rPr>
      </w:pPr>
    </w:p>
    <w:p w14:paraId="20048B82">
      <w:pPr>
        <w:pStyle w:val="2"/>
        <w:spacing w:before="0" w:after="0" w:line="360" w:lineRule="auto"/>
        <w:jc w:val="center"/>
        <w:rPr>
          <w:rFonts w:hint="eastAsia"/>
          <w:color w:val="000000" w:themeColor="text1"/>
          <w:kern w:val="0"/>
          <w:sz w:val="28"/>
          <w:szCs w:val="28"/>
          <w:highlight w:val="none"/>
          <w14:textFill>
            <w14:solidFill>
              <w14:schemeClr w14:val="tx1"/>
            </w14:solidFill>
          </w14:textFill>
        </w:rPr>
        <w:sectPr>
          <w:footerReference r:id="rId7" w:type="default"/>
          <w:pgSz w:w="11905" w:h="16838"/>
          <w:pgMar w:top="1440" w:right="1622" w:bottom="1440" w:left="1463" w:header="567" w:footer="998" w:gutter="0"/>
          <w:pgNumType w:fmt="decimal"/>
          <w:cols w:space="0" w:num="1"/>
          <w:docGrid w:type="lines" w:linePitch="389" w:charSpace="0"/>
        </w:sectPr>
      </w:pPr>
      <w:bookmarkStart w:id="28" w:name="_Toc2271"/>
    </w:p>
    <w:bookmarkEnd w:id="25"/>
    <w:bookmarkEnd w:id="26"/>
    <w:bookmarkEnd w:id="27"/>
    <w:bookmarkEnd w:id="28"/>
    <w:p w14:paraId="03582E1D">
      <w:pPr>
        <w:pStyle w:val="2"/>
        <w:numPr>
          <w:ilvl w:val="0"/>
          <w:numId w:val="0"/>
        </w:numPr>
        <w:spacing w:before="0" w:after="0" w:line="360" w:lineRule="auto"/>
        <w:jc w:val="center"/>
        <w:rPr>
          <w:rFonts w:hint="eastAsia"/>
          <w:color w:val="000000" w:themeColor="text1"/>
          <w:kern w:val="0"/>
          <w:sz w:val="28"/>
          <w:szCs w:val="28"/>
          <w:highlight w:val="none"/>
          <w14:textFill>
            <w14:solidFill>
              <w14:schemeClr w14:val="tx1"/>
            </w14:solidFill>
          </w14:textFill>
        </w:rPr>
      </w:pPr>
      <w:r>
        <w:rPr>
          <w:rFonts w:hint="eastAsia" w:ascii="Book Antiqua" w:hAnsi="Book Antiqua" w:eastAsia="宋体" w:cs="Times New Roman"/>
          <w:b/>
          <w:bCs/>
          <w:color w:val="000000" w:themeColor="text1"/>
          <w:kern w:val="0"/>
          <w:sz w:val="28"/>
          <w:szCs w:val="28"/>
          <w:highlight w:val="none"/>
          <w:lang w:val="en-US" w:eastAsia="zh-CN" w:bidi="ar-SA"/>
          <w14:textFill>
            <w14:solidFill>
              <w14:schemeClr w14:val="tx1"/>
            </w14:solidFill>
          </w14:textFill>
        </w:rPr>
        <w:t>第五部分</w:t>
      </w:r>
      <w:r>
        <w:rPr>
          <w:rFonts w:hint="eastAsia"/>
          <w:color w:val="000000" w:themeColor="text1"/>
          <w:kern w:val="0"/>
          <w:sz w:val="28"/>
          <w:szCs w:val="28"/>
          <w:highlight w:val="none"/>
          <w14:textFill>
            <w14:solidFill>
              <w14:schemeClr w14:val="tx1"/>
            </w14:solidFill>
          </w14:textFill>
        </w:rPr>
        <w:t xml:space="preserve"> 采购内容及要求</w:t>
      </w:r>
    </w:p>
    <w:p w14:paraId="25A292AB">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一、项目概况</w:t>
      </w:r>
    </w:p>
    <w:p w14:paraId="6F9023D3">
      <w:pPr>
        <w:widowControl/>
        <w:numPr>
          <w:ilvl w:val="0"/>
          <w:numId w:val="0"/>
        </w:numPr>
        <w:spacing w:line="44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项目名称：博爱县民政局中心敬老院食材采购项目</w:t>
      </w:r>
    </w:p>
    <w:p w14:paraId="65A0C305">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采购内容：采购配送粮食加工类、肉类、禽蛋类、豆制品、蔬菜类、水果类、调料类、干杂类、油炸烤焙类及其他副食品等，根据实际需要情况提供采购配送服务，一年使用资金</w:t>
      </w:r>
      <w:r>
        <w:rPr>
          <w:rFonts w:hint="eastAsia" w:ascii="宋体" w:hAnsi="宋体" w:cs="宋体"/>
          <w:sz w:val="22"/>
          <w:szCs w:val="22"/>
          <w:lang w:val="en-US" w:eastAsia="zh-CN"/>
        </w:rPr>
        <w:t>约</w:t>
      </w:r>
      <w:r>
        <w:rPr>
          <w:rFonts w:hint="eastAsia" w:ascii="宋体" w:hAnsi="宋体" w:eastAsia="宋体" w:cs="宋体"/>
          <w:sz w:val="22"/>
          <w:szCs w:val="22"/>
          <w:lang w:val="en-US" w:eastAsia="zh-CN"/>
        </w:rPr>
        <w:t>为80万元。</w:t>
      </w:r>
    </w:p>
    <w:p w14:paraId="6A15CBE6">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质量要求：</w:t>
      </w:r>
      <w:r>
        <w:rPr>
          <w:rFonts w:hint="eastAsia" w:ascii="宋体" w:hAnsi="宋体" w:eastAsia="宋体" w:cs="宋体"/>
          <w:sz w:val="22"/>
          <w:szCs w:val="22"/>
          <w:lang w:eastAsia="zh-CN"/>
        </w:rPr>
        <w:t>合格，符合国家通用食品质量标准和现行食品行业标准及相关食品卫生安全要求；能确保每日用餐的正常供应，并做到品种齐全，确保无责任事故、食品及卫生安全事故</w:t>
      </w:r>
      <w:r>
        <w:rPr>
          <w:rFonts w:hint="eastAsia" w:ascii="宋体" w:hAnsi="宋体" w:eastAsia="宋体" w:cs="宋体"/>
          <w:sz w:val="22"/>
          <w:szCs w:val="22"/>
          <w:lang w:val="en-US" w:eastAsia="zh-CN"/>
        </w:rPr>
        <w:t xml:space="preserve"> 。</w:t>
      </w:r>
    </w:p>
    <w:p w14:paraId="2AD9249E">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服务期限：自合同签订之日起一年。</w:t>
      </w:r>
    </w:p>
    <w:p w14:paraId="298920B5">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sz w:val="24"/>
          <w:szCs w:val="32"/>
          <w:lang w:val="en-US" w:eastAsia="zh-CN"/>
        </w:rPr>
      </w:pPr>
      <w:r>
        <w:rPr>
          <w:rFonts w:hint="eastAsia" w:ascii="宋体" w:hAnsi="宋体" w:cs="宋体"/>
          <w:b/>
          <w:bCs/>
          <w:sz w:val="24"/>
          <w:szCs w:val="32"/>
          <w:lang w:val="en-US" w:eastAsia="zh-CN"/>
        </w:rPr>
        <w:t>二、</w:t>
      </w:r>
      <w:r>
        <w:rPr>
          <w:rFonts w:hint="eastAsia" w:ascii="宋体" w:hAnsi="宋体" w:eastAsia="宋体" w:cs="宋体"/>
          <w:b/>
          <w:bCs/>
          <w:sz w:val="24"/>
          <w:szCs w:val="32"/>
          <w:lang w:val="en-US" w:eastAsia="zh-CN"/>
        </w:rPr>
        <w:t xml:space="preserve">服务内容及要求 </w:t>
      </w:r>
    </w:p>
    <w:p w14:paraId="76683EE5">
      <w:pPr>
        <w:widowControl/>
        <w:numPr>
          <w:ilvl w:val="0"/>
          <w:numId w:val="0"/>
        </w:num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为满足</w:t>
      </w:r>
      <w:r>
        <w:rPr>
          <w:rFonts w:hint="eastAsia" w:ascii="宋体" w:hAnsi="宋体" w:eastAsia="宋体" w:cs="宋体"/>
          <w:sz w:val="22"/>
          <w:szCs w:val="22"/>
          <w:lang w:val="en-US" w:eastAsia="zh-CN"/>
        </w:rPr>
        <w:t>采购人</w:t>
      </w:r>
      <w:r>
        <w:rPr>
          <w:rFonts w:hint="eastAsia" w:ascii="宋体" w:hAnsi="宋体" w:eastAsia="宋体" w:cs="宋体"/>
          <w:sz w:val="22"/>
          <w:szCs w:val="22"/>
        </w:rPr>
        <w:t xml:space="preserve">食材需求，尽可能提供多种食材选择，全力做好食材供应服务，拟定全品类供应商。 </w:t>
      </w:r>
    </w:p>
    <w:p w14:paraId="45E0B8D6">
      <w:pPr>
        <w:widowControl/>
        <w:numPr>
          <w:ilvl w:val="0"/>
          <w:numId w:val="4"/>
        </w:numPr>
        <w:spacing w:line="440" w:lineRule="exact"/>
        <w:ind w:left="-20" w:leftChars="0" w:firstLine="440" w:firstLineChars="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付款方式：</w:t>
      </w:r>
      <w:r>
        <w:rPr>
          <w:rFonts w:hint="eastAsia" w:ascii="宋体" w:hAnsi="宋体" w:eastAsia="宋体" w:cs="宋体"/>
          <w:color w:val="auto"/>
          <w:sz w:val="22"/>
          <w:szCs w:val="22"/>
          <w:lang w:val="en-US" w:eastAsia="zh-CN"/>
        </w:rPr>
        <w:t>供应商</w:t>
      </w:r>
      <w:r>
        <w:rPr>
          <w:rFonts w:hint="eastAsia" w:ascii="宋体" w:hAnsi="宋体" w:eastAsia="宋体" w:cs="宋体"/>
          <w:color w:val="auto"/>
          <w:sz w:val="22"/>
          <w:szCs w:val="22"/>
          <w:highlight w:val="none"/>
        </w:rPr>
        <w:t>每月</w:t>
      </w:r>
      <w:r>
        <w:rPr>
          <w:rFonts w:hint="eastAsia" w:ascii="宋体" w:hAnsi="宋体" w:cs="宋体"/>
          <w:color w:val="auto"/>
          <w:sz w:val="22"/>
          <w:szCs w:val="22"/>
          <w:highlight w:val="none"/>
          <w:lang w:eastAsia="zh-CN"/>
        </w:rPr>
        <w:t>根据</w:t>
      </w:r>
      <w:r>
        <w:rPr>
          <w:rFonts w:hint="eastAsia" w:ascii="宋体" w:hAnsi="宋体" w:eastAsia="宋体" w:cs="宋体"/>
          <w:color w:val="auto"/>
          <w:sz w:val="22"/>
          <w:szCs w:val="22"/>
          <w:highlight w:val="none"/>
          <w:lang w:val="en-US" w:eastAsia="zh-CN"/>
        </w:rPr>
        <w:t>采</w:t>
      </w:r>
      <w:r>
        <w:rPr>
          <w:rFonts w:hint="eastAsia" w:ascii="宋体" w:hAnsi="宋体" w:eastAsia="宋体" w:cs="宋体"/>
          <w:color w:val="auto"/>
          <w:sz w:val="22"/>
          <w:szCs w:val="22"/>
          <w:lang w:val="en-US" w:eastAsia="zh-CN"/>
        </w:rPr>
        <w:t>购人</w:t>
      </w:r>
      <w:r>
        <w:rPr>
          <w:rFonts w:hint="eastAsia" w:ascii="宋体" w:hAnsi="宋体" w:eastAsia="宋体" w:cs="宋体"/>
          <w:color w:val="auto"/>
          <w:sz w:val="22"/>
          <w:szCs w:val="22"/>
        </w:rPr>
        <w:t>确认的验收单与订单结算一次（节假日顺延），由</w:t>
      </w:r>
      <w:r>
        <w:rPr>
          <w:rFonts w:hint="eastAsia" w:ascii="宋体" w:hAnsi="宋体" w:eastAsia="宋体" w:cs="宋体"/>
          <w:color w:val="auto"/>
          <w:sz w:val="22"/>
          <w:szCs w:val="22"/>
          <w:lang w:val="en-US" w:eastAsia="zh-CN"/>
        </w:rPr>
        <w:t>采购人</w:t>
      </w:r>
      <w:r>
        <w:rPr>
          <w:rFonts w:hint="eastAsia" w:ascii="宋体" w:hAnsi="宋体" w:eastAsia="宋体" w:cs="宋体"/>
          <w:color w:val="auto"/>
          <w:sz w:val="22"/>
          <w:szCs w:val="22"/>
        </w:rPr>
        <w:t>结算上月应付的货款，双方确认结算无误后，</w:t>
      </w:r>
      <w:r>
        <w:rPr>
          <w:rFonts w:hint="eastAsia" w:ascii="宋体" w:hAnsi="宋体" w:eastAsia="宋体" w:cs="宋体"/>
          <w:color w:val="auto"/>
          <w:sz w:val="22"/>
          <w:szCs w:val="22"/>
          <w:lang w:val="en-US" w:eastAsia="zh-CN"/>
        </w:rPr>
        <w:t>供应商</w:t>
      </w:r>
      <w:r>
        <w:rPr>
          <w:rFonts w:hint="eastAsia" w:ascii="宋体" w:hAnsi="宋体" w:eastAsia="宋体" w:cs="宋体"/>
          <w:color w:val="auto"/>
          <w:sz w:val="22"/>
          <w:szCs w:val="22"/>
        </w:rPr>
        <w:t>开具符合财务要求的增值税发票，</w:t>
      </w:r>
      <w:r>
        <w:rPr>
          <w:rFonts w:hint="eastAsia" w:ascii="宋体" w:hAnsi="宋体" w:eastAsia="宋体" w:cs="宋体"/>
          <w:color w:val="auto"/>
          <w:sz w:val="22"/>
          <w:szCs w:val="22"/>
          <w:lang w:val="en-US" w:eastAsia="zh-CN"/>
        </w:rPr>
        <w:t>采购人在收到发票后向供应商支付；供应商未提供正规发票采购人有权不支付采购款；因特殊原因采购人延迟支付的供应商不得因为费用支付不到位延迟供货或提供有差别的货物和服务。</w:t>
      </w:r>
    </w:p>
    <w:p w14:paraId="6A711C9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定价流程：</w:t>
      </w:r>
      <w:r>
        <w:rPr>
          <w:rFonts w:hint="eastAsia" w:ascii="宋体" w:hAnsi="宋体" w:cs="宋体"/>
          <w:color w:val="auto"/>
          <w:sz w:val="22"/>
          <w:szCs w:val="22"/>
          <w:highlight w:val="none"/>
          <w:lang w:val="en-US" w:eastAsia="zh-CN"/>
        </w:rPr>
        <w:t>由中标供应商每天向采购人提供博爱县三家最大商超所供食材均价的平均值，该平均值为基准价格，</w:t>
      </w:r>
      <w:r>
        <w:rPr>
          <w:rFonts w:hint="eastAsia" w:ascii="宋体" w:hAnsi="宋体" w:eastAsia="宋体" w:cs="宋体"/>
          <w:color w:val="auto"/>
          <w:sz w:val="22"/>
          <w:szCs w:val="22"/>
          <w:lang w:val="en-US" w:eastAsia="zh-CN"/>
        </w:rPr>
        <w:t>采购人不定期对供货价格进行抽查与市场同类价格对比，对高于市场正常价格的，</w:t>
      </w:r>
      <w:r>
        <w:rPr>
          <w:rFonts w:hint="eastAsia" w:ascii="宋体" w:hAnsi="宋体" w:eastAsia="宋体" w:cs="宋体"/>
          <w:color w:val="auto"/>
          <w:sz w:val="22"/>
          <w:szCs w:val="22"/>
        </w:rPr>
        <w:t>给予警告，</w:t>
      </w:r>
      <w:r>
        <w:rPr>
          <w:rFonts w:hint="eastAsia" w:ascii="宋体" w:hAnsi="宋体" w:eastAsia="宋体" w:cs="宋体"/>
          <w:color w:val="auto"/>
          <w:sz w:val="22"/>
          <w:szCs w:val="22"/>
          <w:lang w:val="en-US" w:eastAsia="zh-CN"/>
        </w:rPr>
        <w:t>警告每次扣罚1个月食材结算费用，</w:t>
      </w:r>
      <w:r>
        <w:rPr>
          <w:rFonts w:hint="eastAsia" w:ascii="宋体" w:hAnsi="宋体" w:eastAsia="宋体" w:cs="宋体"/>
          <w:color w:val="auto"/>
          <w:sz w:val="22"/>
          <w:szCs w:val="22"/>
        </w:rPr>
        <w:t>警告次数达 3 次的，取消供应商供货资格。</w:t>
      </w:r>
      <w:r>
        <w:rPr>
          <w:rFonts w:hint="eastAsia" w:ascii="宋体" w:hAnsi="宋体" w:eastAsia="宋体" w:cs="宋体"/>
          <w:color w:val="auto"/>
          <w:sz w:val="22"/>
          <w:szCs w:val="22"/>
          <w:lang w:val="en-US" w:eastAsia="zh-CN"/>
        </w:rPr>
        <w:t>由第二顺序中标候选人接替，乙方不得干涉。</w:t>
      </w:r>
      <w:r>
        <w:rPr>
          <w:rFonts w:hint="eastAsia" w:ascii="宋体" w:hAnsi="宋体" w:eastAsia="宋体" w:cs="宋体"/>
          <w:color w:val="auto"/>
          <w:sz w:val="22"/>
          <w:szCs w:val="22"/>
        </w:rPr>
        <w:t xml:space="preserve"> </w:t>
      </w:r>
    </w:p>
    <w:p w14:paraId="69C97AC5">
      <w:pPr>
        <w:widowControl/>
        <w:numPr>
          <w:ilvl w:val="0"/>
          <w:numId w:val="0"/>
        </w:numPr>
        <w:spacing w:line="440" w:lineRule="exact"/>
        <w:ind w:left="420" w:leftChars="0"/>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 xml:space="preserve">供应商实际货款=基准价格*投标报价*实际供货量。 </w:t>
      </w:r>
    </w:p>
    <w:p w14:paraId="40F22F4D">
      <w:pPr>
        <w:widowControl/>
        <w:numPr>
          <w:ilvl w:val="0"/>
          <w:numId w:val="0"/>
        </w:num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配送价格应包含</w:t>
      </w:r>
      <w:r>
        <w:rPr>
          <w:rFonts w:hint="eastAsia" w:ascii="宋体" w:hAnsi="宋体" w:eastAsia="宋体" w:cs="宋体"/>
          <w:color w:val="auto"/>
          <w:sz w:val="22"/>
          <w:szCs w:val="22"/>
          <w:lang w:val="en-US" w:eastAsia="zh-CN"/>
        </w:rPr>
        <w:t>供应商</w:t>
      </w:r>
      <w:r>
        <w:rPr>
          <w:rFonts w:hint="eastAsia" w:ascii="宋体" w:hAnsi="宋体" w:eastAsia="宋体" w:cs="宋体"/>
          <w:color w:val="auto"/>
          <w:sz w:val="22"/>
          <w:szCs w:val="22"/>
        </w:rPr>
        <w:t>所有</w:t>
      </w:r>
      <w:r>
        <w:rPr>
          <w:rFonts w:hint="eastAsia" w:ascii="宋体" w:hAnsi="宋体" w:eastAsia="宋体" w:cs="宋体"/>
          <w:color w:val="auto"/>
          <w:sz w:val="22"/>
          <w:szCs w:val="22"/>
          <w:lang w:val="en-US" w:eastAsia="zh-CN"/>
        </w:rPr>
        <w:t>采购</w:t>
      </w:r>
      <w:r>
        <w:rPr>
          <w:rFonts w:hint="eastAsia" w:ascii="宋体" w:hAnsi="宋体" w:eastAsia="宋体" w:cs="宋体"/>
          <w:color w:val="auto"/>
          <w:sz w:val="22"/>
          <w:szCs w:val="22"/>
        </w:rPr>
        <w:t>成本、税费、利润、运输、装卸、各类社保、保险、包装等一切</w:t>
      </w:r>
      <w:r>
        <w:rPr>
          <w:rFonts w:hint="eastAsia" w:ascii="宋体" w:hAnsi="宋体" w:eastAsia="宋体" w:cs="宋体"/>
          <w:color w:val="auto"/>
          <w:sz w:val="22"/>
          <w:szCs w:val="22"/>
          <w:lang w:val="en-US" w:eastAsia="zh-CN"/>
        </w:rPr>
        <w:t>与之相关的</w:t>
      </w:r>
      <w:r>
        <w:rPr>
          <w:rFonts w:hint="eastAsia" w:ascii="宋体" w:hAnsi="宋体" w:eastAsia="宋体" w:cs="宋体"/>
          <w:color w:val="auto"/>
          <w:sz w:val="22"/>
          <w:szCs w:val="22"/>
        </w:rPr>
        <w:t>费用。</w:t>
      </w:r>
    </w:p>
    <w:p w14:paraId="3E471A44">
      <w:pPr>
        <w:widowControl/>
        <w:numPr>
          <w:ilvl w:val="0"/>
          <w:numId w:val="0"/>
        </w:numPr>
        <w:spacing w:line="440" w:lineRule="exact"/>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本项目成交供应商应按照采购人要求分批次供货、分批次验收、分批次付款；</w:t>
      </w:r>
    </w:p>
    <w:p w14:paraId="300E6405">
      <w:pPr>
        <w:widowControl/>
        <w:numPr>
          <w:ilvl w:val="0"/>
          <w:numId w:val="0"/>
        </w:numPr>
        <w:spacing w:line="440" w:lineRule="exact"/>
        <w:ind w:firstLine="440" w:firstLineChars="200"/>
        <w:rPr>
          <w:rFonts w:hint="eastAsia" w:ascii="宋体" w:hAnsi="宋体" w:eastAsia="宋体" w:cs="宋体"/>
          <w:color w:val="auto"/>
          <w:sz w:val="22"/>
          <w:szCs w:val="22"/>
          <w:lang w:val="en-US"/>
        </w:rPr>
      </w:pPr>
      <w:r>
        <w:rPr>
          <w:rFonts w:hint="eastAsia" w:ascii="宋体" w:hAnsi="宋体" w:eastAsia="宋体" w:cs="宋体"/>
          <w:color w:val="auto"/>
          <w:sz w:val="22"/>
          <w:szCs w:val="22"/>
        </w:rPr>
        <w:t xml:space="preserve">(2)月结:按实际月供货量计算，采购人依据供货商开具的实际应付款项的正式发票，将款项汇至供货商提供的基本账户。  </w:t>
      </w:r>
    </w:p>
    <w:p w14:paraId="10AF6CE2">
      <w:pPr>
        <w:widowControl/>
        <w:numPr>
          <w:ilvl w:val="0"/>
          <w:numId w:val="0"/>
        </w:numPr>
        <w:spacing w:line="44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val="en-US" w:eastAsia="zh-CN"/>
        </w:rPr>
        <w:t>采购人不定期对供货价格进行抽查与市场同类价格对比，对高于市场正常价格的，</w:t>
      </w:r>
      <w:r>
        <w:rPr>
          <w:rFonts w:hint="eastAsia" w:ascii="宋体" w:hAnsi="宋体" w:eastAsia="宋体" w:cs="宋体"/>
          <w:color w:val="auto"/>
          <w:sz w:val="22"/>
          <w:szCs w:val="22"/>
        </w:rPr>
        <w:t>给予警告，</w:t>
      </w:r>
      <w:r>
        <w:rPr>
          <w:rFonts w:hint="eastAsia" w:ascii="宋体" w:hAnsi="宋体" w:eastAsia="宋体" w:cs="宋体"/>
          <w:color w:val="auto"/>
          <w:sz w:val="22"/>
          <w:szCs w:val="22"/>
          <w:lang w:val="en-US" w:eastAsia="zh-CN"/>
        </w:rPr>
        <w:t>警告每次扣罚1个月食材结算费用，</w:t>
      </w:r>
      <w:r>
        <w:rPr>
          <w:rFonts w:hint="eastAsia" w:ascii="宋体" w:hAnsi="宋体" w:eastAsia="宋体" w:cs="宋体"/>
          <w:color w:val="auto"/>
          <w:sz w:val="22"/>
          <w:szCs w:val="22"/>
        </w:rPr>
        <w:t>警告次数达 3 次的，取消供应商供货资格。</w:t>
      </w:r>
      <w:r>
        <w:rPr>
          <w:rFonts w:hint="eastAsia" w:ascii="宋体" w:hAnsi="宋体" w:eastAsia="宋体" w:cs="宋体"/>
          <w:color w:val="auto"/>
          <w:sz w:val="22"/>
          <w:szCs w:val="22"/>
          <w:lang w:val="en-US" w:eastAsia="zh-CN"/>
        </w:rPr>
        <w:t>由第二顺序中标候选人接替，乙方不得干涉。</w:t>
      </w:r>
    </w:p>
    <w:p w14:paraId="03626826">
      <w:pPr>
        <w:widowControl/>
        <w:numPr>
          <w:ilvl w:val="0"/>
          <w:numId w:val="0"/>
        </w:numPr>
        <w:spacing w:line="440" w:lineRule="exact"/>
        <w:ind w:firstLine="440" w:firstLineChars="200"/>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 xml:space="preserve">、服务要求 </w:t>
      </w:r>
    </w:p>
    <w:p w14:paraId="0B08A682">
      <w:pPr>
        <w:widowControl/>
        <w:numPr>
          <w:ilvl w:val="0"/>
          <w:numId w:val="0"/>
        </w:num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（1）供货商供给或配送的米面油等产品符合国家相关标准。其中大米符合最新版本GB/T1354-2018标准，大米等级一级，包装上有食品生产许可证编码；面粉符合最新版本GB/T1355-2021 标准，包装上有食品生产许可证编码；食用油符合最新版本GB 2716-2018 标准，包装上有食品生产许可证编码；畜禽产品类必须符合最新版本GB2707 标准；猪肉、牛肉必须由取得国家定点屠宰许可的屠宰场提供，必须具有动物检验检疫证明</w:t>
      </w:r>
      <w:r>
        <w:rPr>
          <w:rFonts w:hint="eastAsia" w:ascii="宋体" w:hAnsi="宋体" w:eastAsia="宋体" w:cs="宋体"/>
          <w:sz w:val="22"/>
          <w:szCs w:val="22"/>
          <w:lang w:eastAsia="zh-CN"/>
        </w:rPr>
        <w:t>、</w:t>
      </w:r>
      <w:r>
        <w:rPr>
          <w:rFonts w:hint="eastAsia" w:ascii="宋体" w:hAnsi="宋体" w:eastAsia="宋体" w:cs="宋体"/>
          <w:sz w:val="22"/>
          <w:szCs w:val="22"/>
        </w:rPr>
        <w:t>猪肉还需提供肉品检验检疫合格证明；鲜鸡蛋必须符合GB 2749-2015 标准；</w:t>
      </w:r>
    </w:p>
    <w:p w14:paraId="76234939">
      <w:pPr>
        <w:widowControl/>
        <w:numPr>
          <w:ilvl w:val="0"/>
          <w:numId w:val="0"/>
        </w:num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3、食材质量要求及标准 </w:t>
      </w:r>
    </w:p>
    <w:p w14:paraId="57077634">
      <w:pPr>
        <w:widowControl/>
        <w:numPr>
          <w:ilvl w:val="0"/>
          <w:numId w:val="0"/>
        </w:numPr>
        <w:spacing w:line="44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rPr>
        <w:t>（1）供应商提供的食材必须符合国家以及食品安全法律、法规的规定及标准</w:t>
      </w:r>
      <w:r>
        <w:rPr>
          <w:rFonts w:hint="eastAsia" w:ascii="宋体" w:hAnsi="宋体" w:eastAsia="宋体" w:cs="宋体"/>
          <w:sz w:val="22"/>
          <w:szCs w:val="22"/>
          <w:lang w:eastAsia="zh-CN"/>
        </w:rPr>
        <w:t>。</w:t>
      </w:r>
    </w:p>
    <w:p w14:paraId="709DA9B1">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三、食材采购配送要求</w:t>
      </w:r>
    </w:p>
    <w:tbl>
      <w:tblPr>
        <w:tblStyle w:val="27"/>
        <w:tblW w:w="50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2"/>
        <w:gridCol w:w="452"/>
        <w:gridCol w:w="585"/>
        <w:gridCol w:w="7265"/>
        <w:gridCol w:w="548"/>
      </w:tblGrid>
      <w:tr w14:paraId="143E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61" w:type="pct"/>
            <w:noWrap w:val="0"/>
            <w:vAlign w:val="center"/>
          </w:tcPr>
          <w:p w14:paraId="73CC74D4">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222" w:type="pct"/>
            <w:noWrap w:val="0"/>
            <w:vAlign w:val="center"/>
          </w:tcPr>
          <w:p w14:paraId="42FCE196">
            <w:pPr>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分类</w:t>
            </w:r>
          </w:p>
        </w:tc>
        <w:tc>
          <w:tcPr>
            <w:tcW w:w="327" w:type="pct"/>
            <w:noWrap w:val="0"/>
            <w:vAlign w:val="center"/>
          </w:tcPr>
          <w:p w14:paraId="111CDCCE">
            <w:pPr>
              <w:spacing w:line="360" w:lineRule="auto"/>
              <w:rPr>
                <w:rFonts w:hint="eastAsia" w:ascii="宋体" w:hAnsi="宋体" w:eastAsia="宋体" w:cs="宋体"/>
                <w:sz w:val="22"/>
                <w:szCs w:val="22"/>
              </w:rPr>
            </w:pPr>
            <w:r>
              <w:rPr>
                <w:rFonts w:hint="eastAsia" w:ascii="宋体" w:hAnsi="宋体" w:eastAsia="宋体" w:cs="宋体"/>
                <w:sz w:val="22"/>
                <w:szCs w:val="22"/>
                <w:lang w:val="en-US" w:eastAsia="zh-CN"/>
              </w:rPr>
              <w:t>产品</w:t>
            </w:r>
            <w:r>
              <w:rPr>
                <w:rFonts w:hint="eastAsia" w:ascii="宋体" w:hAnsi="宋体" w:eastAsia="宋体" w:cs="宋体"/>
                <w:sz w:val="22"/>
                <w:szCs w:val="22"/>
              </w:rPr>
              <w:t>名称</w:t>
            </w:r>
          </w:p>
        </w:tc>
        <w:tc>
          <w:tcPr>
            <w:tcW w:w="3980" w:type="pct"/>
            <w:noWrap w:val="0"/>
            <w:vAlign w:val="center"/>
          </w:tcPr>
          <w:p w14:paraId="0DAB92FB">
            <w:pPr>
              <w:spacing w:line="36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食材品质</w:t>
            </w:r>
            <w:r>
              <w:rPr>
                <w:rFonts w:hint="eastAsia" w:ascii="宋体" w:hAnsi="宋体" w:eastAsia="宋体" w:cs="宋体"/>
                <w:sz w:val="22"/>
                <w:szCs w:val="22"/>
              </w:rPr>
              <w:t>要求</w:t>
            </w:r>
          </w:p>
        </w:tc>
        <w:tc>
          <w:tcPr>
            <w:tcW w:w="306" w:type="pct"/>
            <w:noWrap w:val="0"/>
            <w:vAlign w:val="center"/>
          </w:tcPr>
          <w:p w14:paraId="35AAF514">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其他要求</w:t>
            </w:r>
          </w:p>
        </w:tc>
      </w:tr>
      <w:tr w14:paraId="33CF5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1" w:type="pct"/>
            <w:vMerge w:val="restart"/>
            <w:noWrap w:val="0"/>
            <w:vAlign w:val="center"/>
          </w:tcPr>
          <w:p w14:paraId="3ABFF3F5">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1</w:t>
            </w:r>
          </w:p>
        </w:tc>
        <w:tc>
          <w:tcPr>
            <w:tcW w:w="222" w:type="pct"/>
            <w:vMerge w:val="restart"/>
            <w:noWrap w:val="0"/>
            <w:vAlign w:val="center"/>
          </w:tcPr>
          <w:p w14:paraId="7112DCF8">
            <w:pPr>
              <w:spacing w:line="360" w:lineRule="auto"/>
              <w:rPr>
                <w:rFonts w:hint="eastAsia" w:ascii="宋体" w:hAnsi="宋体" w:eastAsia="宋体" w:cs="宋体"/>
                <w:color w:val="FF0000"/>
                <w:sz w:val="22"/>
                <w:szCs w:val="22"/>
                <w:lang w:val="en-US"/>
              </w:rPr>
            </w:pPr>
            <w:r>
              <w:rPr>
                <w:rFonts w:hint="eastAsia" w:ascii="宋体" w:hAnsi="宋体" w:eastAsia="宋体" w:cs="宋体"/>
                <w:b/>
                <w:bCs/>
                <w:color w:val="000000"/>
                <w:kern w:val="0"/>
                <w:sz w:val="22"/>
                <w:szCs w:val="22"/>
                <w:lang w:val="en-US" w:eastAsia="zh-CN" w:bidi="ar"/>
              </w:rPr>
              <w:t>粮食及加工品</w:t>
            </w:r>
          </w:p>
        </w:tc>
        <w:tc>
          <w:tcPr>
            <w:tcW w:w="327" w:type="pct"/>
            <w:noWrap w:val="0"/>
            <w:vAlign w:val="center"/>
          </w:tcPr>
          <w:p w14:paraId="2C78127B">
            <w:pPr>
              <w:widowControl/>
              <w:numPr>
                <w:ilvl w:val="0"/>
                <w:numId w:val="0"/>
              </w:numPr>
              <w:spacing w:line="44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小麦粉</w:t>
            </w:r>
          </w:p>
        </w:tc>
        <w:tc>
          <w:tcPr>
            <w:tcW w:w="3980" w:type="pct"/>
            <w:noWrap w:val="0"/>
            <w:vAlign w:val="center"/>
          </w:tcPr>
          <w:p w14:paraId="448FB18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1.纯小麦粉，不添加其他谷类、豆类等 </w:t>
            </w:r>
          </w:p>
          <w:p w14:paraId="2328C14C">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2.高筋面粉达 GB/T 8607-2024 国家标准，质量等级一级；低筋面粉达 GB/T 1355-2021 标准；低筋面粉Q/JHMF01 标准。 </w:t>
            </w:r>
          </w:p>
          <w:p w14:paraId="70E89AD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3.色泽正常，干爽无异味，无增白剂超标等问题。 </w:t>
            </w:r>
          </w:p>
          <w:p w14:paraId="171F9F8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4.小麦粉的包装、运输和储存，符合保质、保量、运输安全的要求，严防污染。 </w:t>
            </w:r>
          </w:p>
          <w:p w14:paraId="6770EFBC">
            <w:pPr>
              <w:keepNext w:val="0"/>
              <w:keepLines w:val="0"/>
              <w:widowControl/>
              <w:suppressLineNumbers w:val="0"/>
              <w:jc w:val="left"/>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5.交货时保质期应不低于应有保质期的三分之二时间。</w:t>
            </w:r>
          </w:p>
        </w:tc>
        <w:tc>
          <w:tcPr>
            <w:tcW w:w="306" w:type="pct"/>
            <w:vMerge w:val="restart"/>
            <w:noWrap w:val="0"/>
            <w:vAlign w:val="center"/>
          </w:tcPr>
          <w:p w14:paraId="0EB242B5">
            <w:pPr>
              <w:widowControl/>
              <w:numPr>
                <w:ilvl w:val="0"/>
                <w:numId w:val="0"/>
              </w:numPr>
              <w:spacing w:line="440" w:lineRule="exact"/>
              <w:rPr>
                <w:rFonts w:hint="eastAsia" w:ascii="宋体" w:hAnsi="宋体" w:eastAsia="宋体" w:cs="宋体"/>
                <w:color w:val="FF0000"/>
                <w:sz w:val="22"/>
                <w:szCs w:val="22"/>
                <w:lang w:val="en-US" w:eastAsia="zh-CN"/>
              </w:rPr>
            </w:pPr>
            <w:r>
              <w:rPr>
                <w:rFonts w:hint="eastAsia" w:ascii="宋体" w:hAnsi="宋体" w:eastAsia="宋体" w:cs="宋体"/>
                <w:sz w:val="22"/>
                <w:szCs w:val="22"/>
                <w:lang w:val="en-US" w:eastAsia="zh-CN"/>
              </w:rPr>
              <w:t>含采购、运输、发票</w:t>
            </w:r>
          </w:p>
        </w:tc>
      </w:tr>
      <w:tr w14:paraId="2FC5F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161" w:type="pct"/>
            <w:vMerge w:val="continue"/>
            <w:noWrap w:val="0"/>
            <w:vAlign w:val="center"/>
          </w:tcPr>
          <w:p w14:paraId="65AB94B9">
            <w:pPr>
              <w:spacing w:line="360" w:lineRule="auto"/>
              <w:rPr>
                <w:rFonts w:hint="eastAsia" w:ascii="宋体" w:hAnsi="宋体" w:eastAsia="宋体" w:cs="宋体"/>
                <w:color w:val="FF0000"/>
                <w:sz w:val="22"/>
                <w:szCs w:val="22"/>
                <w:lang w:val="en-US" w:eastAsia="zh-CN"/>
              </w:rPr>
            </w:pPr>
          </w:p>
        </w:tc>
        <w:tc>
          <w:tcPr>
            <w:tcW w:w="222" w:type="pct"/>
            <w:vMerge w:val="continue"/>
            <w:noWrap w:val="0"/>
            <w:vAlign w:val="center"/>
          </w:tcPr>
          <w:p w14:paraId="5A9D16A4">
            <w:pPr>
              <w:spacing w:line="360" w:lineRule="auto"/>
              <w:rPr>
                <w:rFonts w:hint="eastAsia" w:ascii="宋体" w:hAnsi="宋体" w:eastAsia="宋体" w:cs="宋体"/>
                <w:b/>
                <w:bCs/>
                <w:color w:val="000000"/>
                <w:kern w:val="0"/>
                <w:sz w:val="22"/>
                <w:szCs w:val="22"/>
                <w:lang w:val="en-US" w:eastAsia="zh-CN" w:bidi="ar"/>
              </w:rPr>
            </w:pPr>
          </w:p>
        </w:tc>
        <w:tc>
          <w:tcPr>
            <w:tcW w:w="327" w:type="pct"/>
            <w:noWrap w:val="0"/>
            <w:vAlign w:val="center"/>
          </w:tcPr>
          <w:p w14:paraId="3E141BF5">
            <w:pPr>
              <w:widowControl/>
              <w:numPr>
                <w:ilvl w:val="0"/>
                <w:numId w:val="0"/>
              </w:numPr>
              <w:spacing w:line="44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大米</w:t>
            </w:r>
          </w:p>
        </w:tc>
        <w:tc>
          <w:tcPr>
            <w:tcW w:w="3980" w:type="pct"/>
            <w:noWrap w:val="0"/>
            <w:vAlign w:val="center"/>
          </w:tcPr>
          <w:p w14:paraId="5DCC084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1.一级大米，符合GB/T 1354-2018标准，包装上有食品生产许可证编号；含水量等于低于规定标准。 </w:t>
            </w:r>
          </w:p>
          <w:p w14:paraId="770B04B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2.无掺杂、无沙石、无白点，碎米少，无黄粒米，无黄曲霉毒素超标颗粒饱满、色泽正常。</w:t>
            </w:r>
          </w:p>
          <w:p w14:paraId="213C5E86">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3.大米的包装、运输和储存，符合保质、保量、运输安全的要求，严防污染。 </w:t>
            </w:r>
          </w:p>
          <w:p w14:paraId="6C80190B">
            <w:pPr>
              <w:keepNext w:val="0"/>
              <w:keepLines w:val="0"/>
              <w:widowControl/>
              <w:suppressLineNumbers w:val="0"/>
              <w:jc w:val="left"/>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4.交货时保质期应不低于应有保质期的三分之二时间。</w:t>
            </w:r>
          </w:p>
        </w:tc>
        <w:tc>
          <w:tcPr>
            <w:tcW w:w="306" w:type="pct"/>
            <w:vMerge w:val="continue"/>
            <w:noWrap w:val="0"/>
            <w:vAlign w:val="center"/>
          </w:tcPr>
          <w:p w14:paraId="28223B00">
            <w:pPr>
              <w:spacing w:line="360" w:lineRule="auto"/>
              <w:rPr>
                <w:rFonts w:hint="eastAsia" w:ascii="宋体" w:hAnsi="宋体" w:eastAsia="宋体" w:cs="宋体"/>
                <w:color w:val="FF0000"/>
                <w:sz w:val="22"/>
                <w:szCs w:val="22"/>
                <w:lang w:val="en-US" w:eastAsia="zh-CN"/>
              </w:rPr>
            </w:pPr>
          </w:p>
        </w:tc>
      </w:tr>
      <w:tr w14:paraId="7969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161" w:type="pct"/>
            <w:vMerge w:val="continue"/>
            <w:noWrap w:val="0"/>
            <w:vAlign w:val="center"/>
          </w:tcPr>
          <w:p w14:paraId="078491DB">
            <w:pPr>
              <w:spacing w:line="360" w:lineRule="auto"/>
              <w:rPr>
                <w:rFonts w:hint="eastAsia" w:ascii="宋体" w:hAnsi="宋体" w:eastAsia="宋体" w:cs="宋体"/>
                <w:color w:val="FF0000"/>
                <w:sz w:val="22"/>
                <w:szCs w:val="22"/>
                <w:lang w:val="en-US" w:eastAsia="zh-CN"/>
              </w:rPr>
            </w:pPr>
          </w:p>
        </w:tc>
        <w:tc>
          <w:tcPr>
            <w:tcW w:w="222" w:type="pct"/>
            <w:vMerge w:val="continue"/>
            <w:noWrap w:val="0"/>
            <w:vAlign w:val="center"/>
          </w:tcPr>
          <w:p w14:paraId="7A475D1F">
            <w:pPr>
              <w:spacing w:line="360" w:lineRule="auto"/>
              <w:rPr>
                <w:rFonts w:hint="eastAsia" w:ascii="宋体" w:hAnsi="宋体" w:eastAsia="宋体" w:cs="宋体"/>
                <w:b/>
                <w:bCs/>
                <w:color w:val="000000"/>
                <w:kern w:val="0"/>
                <w:sz w:val="22"/>
                <w:szCs w:val="22"/>
                <w:lang w:val="en-US" w:eastAsia="zh-CN" w:bidi="ar"/>
              </w:rPr>
            </w:pPr>
          </w:p>
        </w:tc>
        <w:tc>
          <w:tcPr>
            <w:tcW w:w="327" w:type="pct"/>
            <w:noWrap w:val="0"/>
            <w:vAlign w:val="center"/>
          </w:tcPr>
          <w:p w14:paraId="412C6B27">
            <w:pPr>
              <w:widowControl/>
              <w:numPr>
                <w:ilvl w:val="0"/>
                <w:numId w:val="0"/>
              </w:numPr>
              <w:spacing w:line="440" w:lineRule="exact"/>
              <w:rPr>
                <w:rFonts w:hint="default" w:ascii="宋体" w:hAnsi="宋体" w:eastAsia="宋体" w:cs="宋体"/>
                <w:color w:val="FF0000"/>
                <w:sz w:val="22"/>
                <w:szCs w:val="22"/>
                <w:lang w:val="en-US" w:eastAsia="zh-CN"/>
              </w:rPr>
            </w:pPr>
            <w:r>
              <w:rPr>
                <w:rFonts w:hint="eastAsia" w:ascii="宋体" w:hAnsi="宋体" w:eastAsia="宋体" w:cs="宋体"/>
                <w:sz w:val="22"/>
                <w:szCs w:val="22"/>
                <w:lang w:val="en-US" w:eastAsia="zh-CN"/>
              </w:rPr>
              <w:t>杂粮类</w:t>
            </w:r>
          </w:p>
        </w:tc>
        <w:tc>
          <w:tcPr>
            <w:tcW w:w="3980" w:type="pct"/>
            <w:noWrap w:val="0"/>
            <w:vAlign w:val="center"/>
          </w:tcPr>
          <w:p w14:paraId="7C3E3859">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小米、绿豆、红豆、黑米、玉米面、玉米糁、糙米、糯米、薏米、江米、燕麦米等</w:t>
            </w:r>
          </w:p>
          <w:p w14:paraId="48CF5894">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1.符合GB/T11766-2024、GB/T 10462-2008标准等，包装上有食品生产许可证编号；含水量等于低于规定标准。 </w:t>
            </w:r>
          </w:p>
          <w:p w14:paraId="7F4F093F">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2.无掺杂、无沙石、无白点，碎米少，无黄粒米，无黄曲霉毒素超标颗粒饱满、色泽正常。</w:t>
            </w:r>
          </w:p>
          <w:p w14:paraId="39634BFD">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3.包装、运输和储存，符合保质、保量、运输安全的要求，严防污染。 </w:t>
            </w:r>
          </w:p>
          <w:p w14:paraId="5D7086B3">
            <w:pPr>
              <w:keepNext w:val="0"/>
              <w:keepLines w:val="0"/>
              <w:widowControl/>
              <w:suppressLineNumbers w:val="0"/>
              <w:jc w:val="left"/>
              <w:rPr>
                <w:rFonts w:hint="default" w:ascii="宋体" w:hAnsi="宋体" w:eastAsia="宋体" w:cs="宋体"/>
                <w:color w:val="FF0000"/>
                <w:sz w:val="22"/>
                <w:szCs w:val="22"/>
                <w:lang w:val="en-US" w:eastAsia="zh-CN"/>
              </w:rPr>
            </w:pPr>
            <w:r>
              <w:rPr>
                <w:rFonts w:hint="eastAsia" w:ascii="宋体" w:hAnsi="宋体" w:eastAsia="宋体" w:cs="宋体"/>
                <w:color w:val="000000"/>
                <w:kern w:val="0"/>
                <w:sz w:val="22"/>
                <w:szCs w:val="22"/>
                <w:lang w:val="en-US" w:eastAsia="zh-CN" w:bidi="ar"/>
              </w:rPr>
              <w:t>4.交货时保质期应不低于应有保质期的三分之二时间。</w:t>
            </w:r>
          </w:p>
        </w:tc>
        <w:tc>
          <w:tcPr>
            <w:tcW w:w="306" w:type="pct"/>
            <w:vMerge w:val="continue"/>
            <w:noWrap w:val="0"/>
            <w:vAlign w:val="center"/>
          </w:tcPr>
          <w:p w14:paraId="10D17C03">
            <w:pPr>
              <w:spacing w:line="360" w:lineRule="auto"/>
              <w:rPr>
                <w:rFonts w:hint="eastAsia" w:ascii="宋体" w:hAnsi="宋体" w:eastAsia="宋体" w:cs="宋体"/>
                <w:color w:val="FF0000"/>
                <w:sz w:val="22"/>
                <w:szCs w:val="22"/>
                <w:lang w:val="en-US" w:eastAsia="zh-CN"/>
              </w:rPr>
            </w:pPr>
          </w:p>
        </w:tc>
      </w:tr>
      <w:tr w14:paraId="108A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161" w:type="pct"/>
            <w:vMerge w:val="continue"/>
            <w:noWrap w:val="0"/>
            <w:vAlign w:val="center"/>
          </w:tcPr>
          <w:p w14:paraId="594642E0">
            <w:pPr>
              <w:spacing w:line="360" w:lineRule="auto"/>
              <w:rPr>
                <w:rFonts w:hint="eastAsia" w:ascii="宋体" w:hAnsi="宋体" w:eastAsia="宋体" w:cs="宋体"/>
                <w:color w:val="FF0000"/>
                <w:sz w:val="22"/>
                <w:szCs w:val="22"/>
                <w:lang w:val="en-US" w:eastAsia="zh-CN"/>
              </w:rPr>
            </w:pPr>
          </w:p>
        </w:tc>
        <w:tc>
          <w:tcPr>
            <w:tcW w:w="222" w:type="pct"/>
            <w:vMerge w:val="continue"/>
            <w:noWrap w:val="0"/>
            <w:vAlign w:val="center"/>
          </w:tcPr>
          <w:p w14:paraId="69A1E51C">
            <w:pPr>
              <w:spacing w:line="360" w:lineRule="auto"/>
              <w:rPr>
                <w:rFonts w:hint="eastAsia" w:ascii="宋体" w:hAnsi="宋体" w:eastAsia="宋体" w:cs="宋体"/>
                <w:b/>
                <w:bCs/>
                <w:color w:val="000000"/>
                <w:kern w:val="0"/>
                <w:sz w:val="22"/>
                <w:szCs w:val="22"/>
                <w:lang w:val="en-US" w:eastAsia="zh-CN" w:bidi="ar"/>
              </w:rPr>
            </w:pPr>
          </w:p>
        </w:tc>
        <w:tc>
          <w:tcPr>
            <w:tcW w:w="327" w:type="pct"/>
            <w:noWrap w:val="0"/>
            <w:vAlign w:val="center"/>
          </w:tcPr>
          <w:p w14:paraId="27CDAA7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食用油</w:t>
            </w:r>
          </w:p>
          <w:p w14:paraId="5410E0D2">
            <w:pPr>
              <w:spacing w:line="360" w:lineRule="auto"/>
              <w:rPr>
                <w:rFonts w:hint="eastAsia" w:ascii="宋体" w:hAnsi="宋体" w:eastAsia="宋体" w:cs="宋体"/>
                <w:color w:val="FF0000"/>
                <w:sz w:val="22"/>
                <w:szCs w:val="22"/>
                <w:lang w:val="en-US" w:eastAsia="zh-CN"/>
              </w:rPr>
            </w:pPr>
          </w:p>
        </w:tc>
        <w:tc>
          <w:tcPr>
            <w:tcW w:w="3980" w:type="pct"/>
            <w:noWrap w:val="0"/>
            <w:vAlign w:val="center"/>
          </w:tcPr>
          <w:p w14:paraId="05D97881">
            <w:pPr>
              <w:pStyle w:val="92"/>
              <w:numPr>
                <w:ilvl w:val="0"/>
                <w:numId w:val="0"/>
              </w:numPr>
              <w:ind w:leftChars="0"/>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非转基因大豆油、非转基因食用植物调和油、花生油、菜籽油、玉米油、橄榄油亚麻籽油、芝麻油、核桃油、调和油、油茶籽油、稻米油。符合GB/T1536-2021、GB/T1535-2017或GB/T1534-2017标准要求；国家食用调和油质量标准 GB2716-2018。 </w:t>
            </w:r>
          </w:p>
          <w:p w14:paraId="0571DD62">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2.外观的色泽、透明度、气味滋味等无异常，溶剂残留不得检出。 </w:t>
            </w:r>
          </w:p>
          <w:p w14:paraId="48A65FC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3.包装桶上标有食品名称、配料表、净含量和规格、生产者名称、生产者地址、生产者联系方式、生产日期、保质期、贮存条件、食品生产许可证编号、执行标准、食品产地、质量等级。  </w:t>
            </w:r>
          </w:p>
          <w:p w14:paraId="43C077DC">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4.交货时保质期应不低于应有保质期的三分之二时间。</w:t>
            </w:r>
          </w:p>
        </w:tc>
        <w:tc>
          <w:tcPr>
            <w:tcW w:w="306" w:type="pct"/>
            <w:vMerge w:val="continue"/>
            <w:noWrap w:val="0"/>
            <w:vAlign w:val="center"/>
          </w:tcPr>
          <w:p w14:paraId="3C384725">
            <w:pPr>
              <w:spacing w:line="360" w:lineRule="auto"/>
              <w:rPr>
                <w:rFonts w:hint="eastAsia" w:ascii="宋体" w:hAnsi="宋体" w:eastAsia="宋体" w:cs="宋体"/>
                <w:color w:val="FF0000"/>
                <w:sz w:val="22"/>
                <w:szCs w:val="22"/>
                <w:lang w:val="en-US" w:eastAsia="zh-CN"/>
              </w:rPr>
            </w:pPr>
          </w:p>
        </w:tc>
      </w:tr>
      <w:tr w14:paraId="5A25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61" w:type="pct"/>
            <w:vMerge w:val="restart"/>
            <w:noWrap w:val="0"/>
            <w:vAlign w:val="center"/>
          </w:tcPr>
          <w:p w14:paraId="0FCCAF1E">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2</w:t>
            </w:r>
          </w:p>
        </w:tc>
        <w:tc>
          <w:tcPr>
            <w:tcW w:w="222" w:type="pct"/>
            <w:vMerge w:val="restart"/>
            <w:noWrap w:val="0"/>
            <w:vAlign w:val="center"/>
          </w:tcPr>
          <w:p w14:paraId="7CE6285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肉类</w:t>
            </w:r>
          </w:p>
          <w:p w14:paraId="1F84E554">
            <w:pPr>
              <w:spacing w:line="360" w:lineRule="auto"/>
              <w:rPr>
                <w:rFonts w:hint="eastAsia" w:ascii="宋体" w:hAnsi="宋体" w:eastAsia="宋体" w:cs="宋体"/>
                <w:color w:val="FF0000"/>
                <w:sz w:val="22"/>
                <w:szCs w:val="22"/>
              </w:rPr>
            </w:pPr>
          </w:p>
        </w:tc>
        <w:tc>
          <w:tcPr>
            <w:tcW w:w="327" w:type="pct"/>
            <w:noWrap w:val="0"/>
            <w:vAlign w:val="center"/>
          </w:tcPr>
          <w:p w14:paraId="0D05A091">
            <w:pPr>
              <w:keepNext w:val="0"/>
              <w:keepLines w:val="0"/>
              <w:widowControl/>
              <w:suppressLineNumbers w:val="0"/>
              <w:spacing w:line="360" w:lineRule="auto"/>
              <w:jc w:val="left"/>
              <w:rPr>
                <w:rFonts w:hint="eastAsia" w:ascii="宋体" w:hAnsi="宋体" w:eastAsia="宋体" w:cs="宋体"/>
                <w:color w:val="FF0000"/>
                <w:sz w:val="22"/>
                <w:szCs w:val="22"/>
              </w:rPr>
            </w:pPr>
            <w:r>
              <w:rPr>
                <w:rFonts w:hint="eastAsia" w:ascii="宋体" w:hAnsi="宋体" w:eastAsia="宋体" w:cs="宋体"/>
                <w:color w:val="000000"/>
                <w:kern w:val="0"/>
                <w:sz w:val="22"/>
                <w:szCs w:val="22"/>
                <w:lang w:val="en-US" w:eastAsia="zh-CN" w:bidi="ar"/>
              </w:rPr>
              <w:t xml:space="preserve">牛、羊肉 </w:t>
            </w:r>
          </w:p>
        </w:tc>
        <w:tc>
          <w:tcPr>
            <w:tcW w:w="3980" w:type="pct"/>
            <w:noWrap w:val="0"/>
            <w:vAlign w:val="center"/>
          </w:tcPr>
          <w:p w14:paraId="4FC52A58">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鲜牛肉、鲜羊肉 </w:t>
            </w:r>
          </w:p>
          <w:p w14:paraId="7368780E">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1.技术要求：卫生指标、检验方法、生产加工过程、标识、包装、贮存和运输的卫生要求等按 GB/T2707-2016 和国家有关标准、规定执行； </w:t>
            </w:r>
          </w:p>
          <w:p w14:paraId="1992E5BA">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2.规格：牛肉(牛肉修除血管、骨头、淋巴等后，剩下的部分),配送包装的冷鲜肉。 </w:t>
            </w:r>
          </w:p>
          <w:p w14:paraId="19774F6D">
            <w:pPr>
              <w:keepNext w:val="0"/>
              <w:keepLines w:val="0"/>
              <w:widowControl/>
              <w:suppressLineNumbers w:val="0"/>
              <w:jc w:val="left"/>
              <w:rPr>
                <w:rFonts w:hint="eastAsia" w:ascii="宋体" w:hAnsi="宋体" w:eastAsia="宋体" w:cs="宋体"/>
                <w:color w:val="FF0000"/>
                <w:sz w:val="22"/>
                <w:szCs w:val="22"/>
                <w:lang w:val="en-US"/>
              </w:rPr>
            </w:pPr>
            <w:r>
              <w:rPr>
                <w:rFonts w:hint="eastAsia" w:ascii="宋体" w:hAnsi="宋体" w:eastAsia="宋体" w:cs="宋体"/>
                <w:color w:val="000000"/>
                <w:kern w:val="0"/>
                <w:sz w:val="22"/>
                <w:szCs w:val="22"/>
                <w:lang w:val="en-US" w:eastAsia="zh-CN" w:bidi="ar"/>
              </w:rPr>
              <w:t>3.供货时提供动物检疫合格证明和肉品质合格证明，随货同行，不能是冰冻肉.</w:t>
            </w:r>
          </w:p>
        </w:tc>
        <w:tc>
          <w:tcPr>
            <w:tcW w:w="306" w:type="pct"/>
            <w:vMerge w:val="continue"/>
            <w:noWrap w:val="0"/>
            <w:vAlign w:val="center"/>
          </w:tcPr>
          <w:p w14:paraId="3240AE67">
            <w:pPr>
              <w:spacing w:line="360" w:lineRule="auto"/>
              <w:rPr>
                <w:rFonts w:hint="eastAsia" w:ascii="宋体" w:hAnsi="宋体" w:eastAsia="宋体" w:cs="宋体"/>
                <w:color w:val="FF0000"/>
                <w:sz w:val="22"/>
                <w:szCs w:val="22"/>
              </w:rPr>
            </w:pPr>
          </w:p>
        </w:tc>
      </w:tr>
      <w:tr w14:paraId="3C64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61" w:type="pct"/>
            <w:vMerge w:val="continue"/>
            <w:noWrap w:val="0"/>
            <w:vAlign w:val="center"/>
          </w:tcPr>
          <w:p w14:paraId="7B821D1B">
            <w:pPr>
              <w:spacing w:line="360" w:lineRule="auto"/>
              <w:rPr>
                <w:rFonts w:hint="eastAsia" w:ascii="宋体" w:hAnsi="宋体" w:eastAsia="宋体" w:cs="宋体"/>
                <w:color w:val="FF0000"/>
                <w:sz w:val="22"/>
                <w:szCs w:val="22"/>
              </w:rPr>
            </w:pPr>
          </w:p>
        </w:tc>
        <w:tc>
          <w:tcPr>
            <w:tcW w:w="222" w:type="pct"/>
            <w:vMerge w:val="continue"/>
            <w:noWrap w:val="0"/>
            <w:vAlign w:val="center"/>
          </w:tcPr>
          <w:p w14:paraId="3CADCC20">
            <w:pPr>
              <w:spacing w:line="360" w:lineRule="auto"/>
              <w:rPr>
                <w:rFonts w:hint="eastAsia" w:ascii="宋体" w:hAnsi="宋体" w:eastAsia="宋体" w:cs="宋体"/>
                <w:color w:val="FF0000"/>
                <w:sz w:val="22"/>
                <w:szCs w:val="22"/>
              </w:rPr>
            </w:pPr>
          </w:p>
        </w:tc>
        <w:tc>
          <w:tcPr>
            <w:tcW w:w="327" w:type="pct"/>
            <w:noWrap w:val="0"/>
            <w:vAlign w:val="center"/>
          </w:tcPr>
          <w:p w14:paraId="30B83139">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猪肉</w:t>
            </w:r>
          </w:p>
          <w:p w14:paraId="379FBB30">
            <w:pPr>
              <w:spacing w:line="360" w:lineRule="auto"/>
              <w:rPr>
                <w:rFonts w:hint="eastAsia" w:ascii="宋体" w:hAnsi="宋体" w:eastAsia="宋体" w:cs="宋体"/>
                <w:color w:val="FF0000"/>
                <w:sz w:val="22"/>
                <w:szCs w:val="22"/>
              </w:rPr>
            </w:pPr>
          </w:p>
        </w:tc>
        <w:tc>
          <w:tcPr>
            <w:tcW w:w="3980" w:type="pct"/>
            <w:noWrap w:val="0"/>
            <w:vAlign w:val="center"/>
          </w:tcPr>
          <w:p w14:paraId="5E67E35C">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猪肉、猪肋排（小净排） </w:t>
            </w:r>
          </w:p>
          <w:p w14:paraId="12FBBA2C">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1.猪肉的技术要求：卫生指标、检验方法、生产加工过程、标识、包装、贮存和运输的卫生要求等按 GB/T2707-2016 和国家有关标准、规定执行。 </w:t>
            </w:r>
          </w:p>
          <w:p w14:paraId="49A61F64">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2.规格：猪肋排（小净排）、猪肉(猪肉修除皮、筋、血管、骨头、淋巴45 等后，剩下部分的瘦肉比例不少于65%),配送包装的冷鲜肉。 </w:t>
            </w:r>
          </w:p>
          <w:p w14:paraId="3129CAED">
            <w:pPr>
              <w:keepNext w:val="0"/>
              <w:keepLines w:val="0"/>
              <w:widowControl/>
              <w:suppressLineNumbers w:val="0"/>
              <w:jc w:val="left"/>
              <w:rPr>
                <w:rFonts w:hint="eastAsia" w:ascii="宋体" w:hAnsi="宋体" w:eastAsia="宋体" w:cs="宋体"/>
                <w:color w:val="FF0000"/>
                <w:sz w:val="22"/>
                <w:szCs w:val="22"/>
              </w:rPr>
            </w:pPr>
            <w:r>
              <w:rPr>
                <w:rFonts w:hint="eastAsia" w:ascii="宋体" w:hAnsi="宋体" w:eastAsia="宋体" w:cs="宋体"/>
                <w:color w:val="000000"/>
                <w:kern w:val="0"/>
                <w:sz w:val="22"/>
                <w:szCs w:val="22"/>
                <w:lang w:val="en-US" w:eastAsia="zh-CN" w:bidi="ar"/>
              </w:rPr>
              <w:t>3.供货时提供动物检疫合格证明和肉品质合格证明，随货同行，不能是冰冻肉。</w:t>
            </w:r>
          </w:p>
        </w:tc>
        <w:tc>
          <w:tcPr>
            <w:tcW w:w="306" w:type="pct"/>
            <w:vMerge w:val="continue"/>
            <w:noWrap w:val="0"/>
            <w:vAlign w:val="center"/>
          </w:tcPr>
          <w:p w14:paraId="10BBD3E6">
            <w:pPr>
              <w:spacing w:line="360" w:lineRule="auto"/>
              <w:rPr>
                <w:rFonts w:hint="eastAsia" w:ascii="宋体" w:hAnsi="宋体" w:eastAsia="宋体" w:cs="宋体"/>
                <w:color w:val="FF0000"/>
                <w:sz w:val="22"/>
                <w:szCs w:val="22"/>
              </w:rPr>
            </w:pPr>
          </w:p>
        </w:tc>
      </w:tr>
      <w:tr w14:paraId="0945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161" w:type="pct"/>
            <w:vMerge w:val="continue"/>
            <w:noWrap w:val="0"/>
            <w:vAlign w:val="center"/>
          </w:tcPr>
          <w:p w14:paraId="078BB698">
            <w:pPr>
              <w:spacing w:line="360" w:lineRule="auto"/>
              <w:rPr>
                <w:rFonts w:hint="eastAsia" w:ascii="宋体" w:hAnsi="宋体" w:eastAsia="宋体" w:cs="宋体"/>
                <w:color w:val="FF0000"/>
                <w:sz w:val="22"/>
                <w:szCs w:val="22"/>
              </w:rPr>
            </w:pPr>
          </w:p>
        </w:tc>
        <w:tc>
          <w:tcPr>
            <w:tcW w:w="222" w:type="pct"/>
            <w:vMerge w:val="continue"/>
            <w:noWrap w:val="0"/>
            <w:vAlign w:val="center"/>
          </w:tcPr>
          <w:p w14:paraId="3BCAC901">
            <w:pPr>
              <w:spacing w:line="360" w:lineRule="auto"/>
              <w:rPr>
                <w:rFonts w:hint="eastAsia" w:ascii="宋体" w:hAnsi="宋体" w:eastAsia="宋体" w:cs="宋体"/>
                <w:color w:val="FF0000"/>
                <w:sz w:val="22"/>
                <w:szCs w:val="22"/>
              </w:rPr>
            </w:pPr>
          </w:p>
        </w:tc>
        <w:tc>
          <w:tcPr>
            <w:tcW w:w="327" w:type="pct"/>
            <w:noWrap w:val="0"/>
            <w:vAlign w:val="center"/>
          </w:tcPr>
          <w:p w14:paraId="25AF333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鸡肉</w:t>
            </w:r>
          </w:p>
          <w:p w14:paraId="31EFC01C">
            <w:pPr>
              <w:spacing w:line="360" w:lineRule="auto"/>
              <w:rPr>
                <w:rFonts w:hint="eastAsia" w:ascii="宋体" w:hAnsi="宋体" w:eastAsia="宋体" w:cs="宋体"/>
                <w:color w:val="FF0000"/>
                <w:sz w:val="22"/>
                <w:szCs w:val="22"/>
              </w:rPr>
            </w:pPr>
          </w:p>
        </w:tc>
        <w:tc>
          <w:tcPr>
            <w:tcW w:w="3980" w:type="pct"/>
            <w:noWrap w:val="0"/>
            <w:vAlign w:val="center"/>
          </w:tcPr>
          <w:p w14:paraId="35F0717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（鸡胸肉、鸡腿、鸡翅中、鸡架）等新鲜肉类（冷鸡肉鲜肉） </w:t>
            </w:r>
          </w:p>
          <w:p w14:paraId="0E34B4B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1..鸡肉的技术要求、检验方法、检验规则、标签、标志、包装、贮存和运输等要求按GB/T2707-2016、GB/T16869-2005 和国家有关标准、规定执行。 </w:t>
            </w:r>
          </w:p>
          <w:p w14:paraId="4311529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2.规格：鸡肉(鸡腿或鸡胸脯肉),配送包装的冷鲜肉. </w:t>
            </w:r>
          </w:p>
          <w:p w14:paraId="64CF288B">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3.提供动物检疫合格证明和肉品质合格证明，随货同行，不能是冰冻肉。</w:t>
            </w:r>
          </w:p>
        </w:tc>
        <w:tc>
          <w:tcPr>
            <w:tcW w:w="306" w:type="pct"/>
            <w:vMerge w:val="continue"/>
            <w:noWrap w:val="0"/>
            <w:vAlign w:val="center"/>
          </w:tcPr>
          <w:p w14:paraId="47440607">
            <w:pPr>
              <w:spacing w:line="360" w:lineRule="auto"/>
              <w:rPr>
                <w:rFonts w:hint="eastAsia" w:ascii="宋体" w:hAnsi="宋体" w:eastAsia="宋体" w:cs="宋体"/>
                <w:color w:val="FF0000"/>
                <w:sz w:val="22"/>
                <w:szCs w:val="22"/>
              </w:rPr>
            </w:pPr>
          </w:p>
        </w:tc>
      </w:tr>
      <w:tr w14:paraId="7E02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8" w:hRule="atLeast"/>
        </w:trPr>
        <w:tc>
          <w:tcPr>
            <w:tcW w:w="161" w:type="pct"/>
            <w:vMerge w:val="continue"/>
            <w:noWrap w:val="0"/>
            <w:vAlign w:val="center"/>
          </w:tcPr>
          <w:p w14:paraId="1E25622A">
            <w:pPr>
              <w:spacing w:line="360" w:lineRule="auto"/>
              <w:rPr>
                <w:rFonts w:hint="eastAsia" w:ascii="宋体" w:hAnsi="宋体" w:eastAsia="宋体" w:cs="宋体"/>
                <w:color w:val="FF0000"/>
                <w:sz w:val="22"/>
                <w:szCs w:val="22"/>
              </w:rPr>
            </w:pPr>
          </w:p>
        </w:tc>
        <w:tc>
          <w:tcPr>
            <w:tcW w:w="222" w:type="pct"/>
            <w:vMerge w:val="continue"/>
            <w:noWrap w:val="0"/>
            <w:vAlign w:val="center"/>
          </w:tcPr>
          <w:p w14:paraId="2E50CEFB">
            <w:pPr>
              <w:spacing w:line="360" w:lineRule="auto"/>
              <w:rPr>
                <w:rFonts w:hint="eastAsia" w:ascii="宋体" w:hAnsi="宋体" w:eastAsia="宋体" w:cs="宋体"/>
                <w:color w:val="FF0000"/>
                <w:sz w:val="22"/>
                <w:szCs w:val="22"/>
              </w:rPr>
            </w:pPr>
          </w:p>
        </w:tc>
        <w:tc>
          <w:tcPr>
            <w:tcW w:w="327" w:type="pct"/>
            <w:noWrap w:val="0"/>
            <w:vAlign w:val="center"/>
          </w:tcPr>
          <w:p w14:paraId="397DA4D6">
            <w:pPr>
              <w:spacing w:line="360" w:lineRule="auto"/>
              <w:rPr>
                <w:rFonts w:hint="default"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肉制品类</w:t>
            </w:r>
          </w:p>
        </w:tc>
        <w:tc>
          <w:tcPr>
            <w:tcW w:w="3980" w:type="pct"/>
            <w:noWrap w:val="0"/>
            <w:vAlign w:val="center"/>
          </w:tcPr>
          <w:p w14:paraId="249CBCF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酱卤肉制品：以畜禽为主要原料加工而成的酱卤肉制品及以畜禽动物的可食副产品等。</w:t>
            </w:r>
          </w:p>
          <w:p w14:paraId="69C819EB">
            <w:pPr>
              <w:keepNext w:val="0"/>
              <w:keepLines w:val="0"/>
              <w:widowControl/>
              <w:numPr>
                <w:ilvl w:val="0"/>
                <w:numId w:val="5"/>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外观：具有产品固有的外观。</w:t>
            </w:r>
          </w:p>
          <w:p w14:paraId="52E80CC1">
            <w:pPr>
              <w:keepNext w:val="0"/>
              <w:keepLines w:val="0"/>
              <w:widowControl/>
              <w:numPr>
                <w:ilvl w:val="0"/>
                <w:numId w:val="5"/>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色泽：具有产品固有的色泽。</w:t>
            </w:r>
          </w:p>
          <w:p w14:paraId="0CF46670">
            <w:pPr>
              <w:keepNext w:val="0"/>
              <w:keepLines w:val="0"/>
              <w:widowControl/>
              <w:numPr>
                <w:ilvl w:val="0"/>
                <w:numId w:val="5"/>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组织状态：具有产品应有的组织状态。</w:t>
            </w:r>
          </w:p>
          <w:p w14:paraId="0DF5E60C">
            <w:pPr>
              <w:keepNext w:val="0"/>
              <w:keepLines w:val="0"/>
              <w:widowControl/>
              <w:numPr>
                <w:ilvl w:val="0"/>
                <w:numId w:val="5"/>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风味：具有产品应有的滋味、气味，无异味。</w:t>
            </w:r>
          </w:p>
          <w:p w14:paraId="763CB4BD">
            <w:pPr>
              <w:keepNext w:val="0"/>
              <w:keepLines w:val="0"/>
              <w:widowControl/>
              <w:numPr>
                <w:ilvl w:val="0"/>
                <w:numId w:val="5"/>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杂质：无正常视力可见的外来杂质。</w:t>
            </w:r>
          </w:p>
          <w:p w14:paraId="5830CCAE">
            <w:pPr>
              <w:keepNext w:val="0"/>
              <w:keepLines w:val="0"/>
              <w:widowControl/>
              <w:numPr>
                <w:ilvl w:val="0"/>
                <w:numId w:val="5"/>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技术要求、卫生指标、检验方法、生产加工过程、标识、包装、贮存和运输的卫生要求等按 GB/T23586-2022 和国家有关标准、规定执行。</w:t>
            </w:r>
          </w:p>
        </w:tc>
        <w:tc>
          <w:tcPr>
            <w:tcW w:w="306" w:type="pct"/>
            <w:vMerge w:val="continue"/>
            <w:noWrap w:val="0"/>
            <w:vAlign w:val="center"/>
          </w:tcPr>
          <w:p w14:paraId="344EA6E6">
            <w:pPr>
              <w:spacing w:line="360" w:lineRule="auto"/>
              <w:rPr>
                <w:rFonts w:hint="eastAsia" w:ascii="宋体" w:hAnsi="宋体" w:eastAsia="宋体" w:cs="宋体"/>
                <w:color w:val="FF0000"/>
                <w:sz w:val="22"/>
                <w:szCs w:val="22"/>
              </w:rPr>
            </w:pPr>
          </w:p>
        </w:tc>
      </w:tr>
      <w:tr w14:paraId="1B09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1" w:type="pct"/>
            <w:vMerge w:val="restart"/>
            <w:noWrap w:val="0"/>
            <w:vAlign w:val="center"/>
          </w:tcPr>
          <w:p w14:paraId="665CE5F1">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3</w:t>
            </w:r>
          </w:p>
        </w:tc>
        <w:tc>
          <w:tcPr>
            <w:tcW w:w="222" w:type="pct"/>
            <w:vMerge w:val="restart"/>
            <w:noWrap w:val="0"/>
            <w:vAlign w:val="center"/>
          </w:tcPr>
          <w:p w14:paraId="2F27C52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禽蛋 </w:t>
            </w:r>
          </w:p>
          <w:p w14:paraId="2C5C0399">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类</w:t>
            </w:r>
          </w:p>
          <w:p w14:paraId="060D7A23">
            <w:pPr>
              <w:spacing w:line="360" w:lineRule="auto"/>
              <w:rPr>
                <w:rFonts w:hint="eastAsia" w:ascii="宋体" w:hAnsi="宋体" w:eastAsia="宋体" w:cs="宋体"/>
                <w:color w:val="FF0000"/>
                <w:sz w:val="22"/>
                <w:szCs w:val="22"/>
              </w:rPr>
            </w:pPr>
          </w:p>
        </w:tc>
        <w:tc>
          <w:tcPr>
            <w:tcW w:w="327" w:type="pct"/>
            <w:noWrap w:val="0"/>
            <w:vAlign w:val="center"/>
          </w:tcPr>
          <w:p w14:paraId="3F1D048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鲜鸡蛋</w:t>
            </w:r>
          </w:p>
          <w:p w14:paraId="2F40FA5B">
            <w:pPr>
              <w:spacing w:line="360" w:lineRule="auto"/>
              <w:rPr>
                <w:rFonts w:hint="eastAsia" w:ascii="宋体" w:hAnsi="宋体" w:eastAsia="宋体" w:cs="宋体"/>
                <w:color w:val="FF0000"/>
                <w:sz w:val="22"/>
                <w:szCs w:val="22"/>
              </w:rPr>
            </w:pPr>
          </w:p>
        </w:tc>
        <w:tc>
          <w:tcPr>
            <w:tcW w:w="3980" w:type="pct"/>
            <w:noWrap w:val="0"/>
            <w:vAlign w:val="center"/>
          </w:tcPr>
          <w:p w14:paraId="7B8C29E8">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符合GB 2749-2015 食品安全国家标准《蛋与蛋制品》、GB 2762-2022 食品安全国家标准《食品中污染物限量》满足相关微生物限量。</w:t>
            </w:r>
          </w:p>
        </w:tc>
        <w:tc>
          <w:tcPr>
            <w:tcW w:w="306" w:type="pct"/>
            <w:vMerge w:val="continue"/>
            <w:noWrap w:val="0"/>
            <w:vAlign w:val="center"/>
          </w:tcPr>
          <w:p w14:paraId="45B7E040">
            <w:pPr>
              <w:spacing w:line="360" w:lineRule="auto"/>
              <w:rPr>
                <w:rFonts w:hint="eastAsia" w:ascii="宋体" w:hAnsi="宋体" w:eastAsia="宋体" w:cs="宋体"/>
                <w:color w:val="FF0000"/>
                <w:sz w:val="22"/>
                <w:szCs w:val="22"/>
              </w:rPr>
            </w:pPr>
          </w:p>
        </w:tc>
      </w:tr>
      <w:tr w14:paraId="0905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61" w:type="pct"/>
            <w:vMerge w:val="continue"/>
            <w:noWrap w:val="0"/>
            <w:vAlign w:val="center"/>
          </w:tcPr>
          <w:p w14:paraId="66C71AA3">
            <w:pPr>
              <w:spacing w:line="360" w:lineRule="auto"/>
              <w:rPr>
                <w:rFonts w:hint="eastAsia" w:ascii="宋体" w:hAnsi="宋体" w:eastAsia="宋体" w:cs="宋体"/>
                <w:color w:val="FF0000"/>
                <w:sz w:val="22"/>
                <w:szCs w:val="22"/>
                <w:lang w:val="en-US" w:eastAsia="zh-CN"/>
              </w:rPr>
            </w:pPr>
          </w:p>
        </w:tc>
        <w:tc>
          <w:tcPr>
            <w:tcW w:w="222" w:type="pct"/>
            <w:vMerge w:val="continue"/>
            <w:noWrap w:val="0"/>
            <w:vAlign w:val="center"/>
          </w:tcPr>
          <w:p w14:paraId="3E501389">
            <w:pPr>
              <w:spacing w:line="360" w:lineRule="auto"/>
              <w:rPr>
                <w:rFonts w:hint="eastAsia" w:ascii="宋体" w:hAnsi="宋体" w:eastAsia="宋体" w:cs="宋体"/>
                <w:color w:val="FF0000"/>
                <w:sz w:val="22"/>
                <w:szCs w:val="22"/>
              </w:rPr>
            </w:pPr>
          </w:p>
        </w:tc>
        <w:tc>
          <w:tcPr>
            <w:tcW w:w="327" w:type="pct"/>
            <w:noWrap w:val="0"/>
            <w:vAlign w:val="center"/>
          </w:tcPr>
          <w:p w14:paraId="2B2AACC6">
            <w:pPr>
              <w:keepNext w:val="0"/>
              <w:keepLines w:val="0"/>
              <w:widowControl/>
              <w:suppressLineNumbers w:val="0"/>
              <w:spacing w:line="360" w:lineRule="auto"/>
              <w:jc w:val="left"/>
              <w:rPr>
                <w:rFonts w:hint="eastAsia" w:ascii="宋体" w:hAnsi="宋体" w:eastAsia="宋体" w:cs="宋体"/>
                <w:color w:val="FF0000"/>
                <w:sz w:val="22"/>
                <w:szCs w:val="22"/>
              </w:rPr>
            </w:pPr>
            <w:r>
              <w:rPr>
                <w:rFonts w:hint="eastAsia" w:ascii="宋体" w:hAnsi="宋体" w:eastAsia="宋体" w:cs="宋体"/>
                <w:color w:val="000000"/>
                <w:kern w:val="0"/>
                <w:sz w:val="22"/>
                <w:szCs w:val="22"/>
                <w:lang w:val="en-US" w:eastAsia="zh-CN" w:bidi="ar"/>
              </w:rPr>
              <w:t xml:space="preserve">鹌鹑蛋 </w:t>
            </w:r>
          </w:p>
        </w:tc>
        <w:tc>
          <w:tcPr>
            <w:tcW w:w="3980" w:type="pct"/>
            <w:noWrap w:val="0"/>
            <w:vAlign w:val="center"/>
          </w:tcPr>
          <w:p w14:paraId="3AEB2B5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符合NY5270-2004《无公害食品 鹌鹑蛋》标准，砷≤0.03mg/kg、汞≤ 0.1mg/kg 理化限值，微生物方面要求菌落总数≤5×10⁴ cfu/g，且不得检出沙门氏菌。</w:t>
            </w:r>
          </w:p>
        </w:tc>
        <w:tc>
          <w:tcPr>
            <w:tcW w:w="306" w:type="pct"/>
            <w:vMerge w:val="continue"/>
            <w:noWrap w:val="0"/>
            <w:vAlign w:val="center"/>
          </w:tcPr>
          <w:p w14:paraId="0F033543">
            <w:pPr>
              <w:spacing w:line="360" w:lineRule="auto"/>
              <w:rPr>
                <w:rFonts w:hint="eastAsia" w:ascii="宋体" w:hAnsi="宋体" w:eastAsia="宋体" w:cs="宋体"/>
                <w:color w:val="FF0000"/>
                <w:sz w:val="22"/>
                <w:szCs w:val="22"/>
              </w:rPr>
            </w:pPr>
          </w:p>
        </w:tc>
      </w:tr>
      <w:tr w14:paraId="1A6F9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61" w:type="pct"/>
            <w:noWrap w:val="0"/>
            <w:vAlign w:val="center"/>
          </w:tcPr>
          <w:p w14:paraId="7266A1F1">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4</w:t>
            </w:r>
          </w:p>
        </w:tc>
        <w:tc>
          <w:tcPr>
            <w:tcW w:w="222" w:type="pct"/>
            <w:noWrap w:val="0"/>
            <w:vAlign w:val="center"/>
          </w:tcPr>
          <w:p w14:paraId="4704F7B7">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豆制 </w:t>
            </w:r>
          </w:p>
          <w:p w14:paraId="08CFBC3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品</w:t>
            </w:r>
          </w:p>
          <w:p w14:paraId="2755770B">
            <w:pPr>
              <w:spacing w:line="360" w:lineRule="auto"/>
              <w:rPr>
                <w:rFonts w:hint="eastAsia" w:ascii="宋体" w:hAnsi="宋体" w:eastAsia="宋体" w:cs="宋体"/>
                <w:color w:val="FF0000"/>
                <w:sz w:val="22"/>
                <w:szCs w:val="22"/>
              </w:rPr>
            </w:pPr>
          </w:p>
        </w:tc>
        <w:tc>
          <w:tcPr>
            <w:tcW w:w="327" w:type="pct"/>
            <w:noWrap w:val="0"/>
            <w:vAlign w:val="center"/>
          </w:tcPr>
          <w:p w14:paraId="0432FEF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豆腐、白豆 </w:t>
            </w:r>
          </w:p>
          <w:p w14:paraId="33D218E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腐干</w:t>
            </w:r>
          </w:p>
          <w:p w14:paraId="432A9910">
            <w:pPr>
              <w:keepNext w:val="0"/>
              <w:keepLines w:val="0"/>
              <w:widowControl/>
              <w:suppressLineNumbers w:val="0"/>
              <w:jc w:val="left"/>
              <w:rPr>
                <w:rFonts w:hint="eastAsia" w:ascii="宋体" w:hAnsi="宋体" w:eastAsia="宋体" w:cs="宋体"/>
                <w:sz w:val="22"/>
                <w:szCs w:val="22"/>
              </w:rPr>
            </w:pPr>
          </w:p>
          <w:p w14:paraId="33B74AE4">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p>
        </w:tc>
        <w:tc>
          <w:tcPr>
            <w:tcW w:w="3980" w:type="pct"/>
            <w:noWrap w:val="0"/>
            <w:vAlign w:val="center"/>
          </w:tcPr>
          <w:p w14:paraId="7B36326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豆腐、嫩豆腐 </w:t>
            </w:r>
          </w:p>
          <w:p w14:paraId="28CE204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1.当日生产，呈均匀的白色或浅黄色，有光泽，块型完整，软硬适度，有一定的弹性，质地细嫩，有豆腐特有的香味，无酸、涩等不良气味，按GB/T22106 和国家有关标准、规定执行。 </w:t>
            </w:r>
          </w:p>
          <w:p w14:paraId="1676EA96">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2.须保证食材干净、不含非食品用化学物质、按统一标准加工、码放整齐、无须二次处理可以直接进行熟加工。</w:t>
            </w:r>
          </w:p>
          <w:p w14:paraId="0FD0CA79">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白豆腐干</w:t>
            </w:r>
          </w:p>
          <w:p w14:paraId="14BFEB2F">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当日生产，呈均匀的黄色，有光泽，块型完整，质地细腻，边角整齐，有一定的弹性，切开处挤压不出水、无杂质，有豆腐干特白豆腐有的香味，无酸、涩等不良气味，按GB/T22106 和国家有关标准、规定执行。</w:t>
            </w:r>
          </w:p>
        </w:tc>
        <w:tc>
          <w:tcPr>
            <w:tcW w:w="306" w:type="pct"/>
            <w:vMerge w:val="continue"/>
            <w:noWrap w:val="0"/>
            <w:vAlign w:val="center"/>
          </w:tcPr>
          <w:p w14:paraId="2C84344A">
            <w:pPr>
              <w:spacing w:line="360" w:lineRule="auto"/>
              <w:rPr>
                <w:rFonts w:hint="eastAsia" w:ascii="宋体" w:hAnsi="宋体" w:eastAsia="宋体" w:cs="宋体"/>
                <w:color w:val="FF0000"/>
                <w:sz w:val="22"/>
                <w:szCs w:val="22"/>
              </w:rPr>
            </w:pPr>
          </w:p>
        </w:tc>
      </w:tr>
      <w:tr w14:paraId="4424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1" w:type="pct"/>
            <w:noWrap w:val="0"/>
            <w:vAlign w:val="center"/>
          </w:tcPr>
          <w:p w14:paraId="6E1A0C6F">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5</w:t>
            </w:r>
          </w:p>
        </w:tc>
        <w:tc>
          <w:tcPr>
            <w:tcW w:w="222" w:type="pct"/>
            <w:noWrap w:val="0"/>
            <w:vAlign w:val="center"/>
          </w:tcPr>
          <w:p w14:paraId="028DFC9C">
            <w:pPr>
              <w:keepNext w:val="0"/>
              <w:keepLines w:val="0"/>
              <w:widowControl/>
              <w:suppressLineNumbers w:val="0"/>
              <w:spacing w:line="360" w:lineRule="auto"/>
              <w:jc w:val="left"/>
              <w:rPr>
                <w:rFonts w:hint="eastAsia" w:ascii="宋体" w:hAnsi="宋体" w:eastAsia="宋体" w:cs="宋体"/>
                <w:color w:val="FF0000"/>
                <w:sz w:val="22"/>
                <w:szCs w:val="22"/>
              </w:rPr>
            </w:pPr>
            <w:r>
              <w:rPr>
                <w:rFonts w:hint="eastAsia" w:ascii="宋体" w:hAnsi="宋体" w:eastAsia="宋体" w:cs="宋体"/>
                <w:b/>
                <w:bCs/>
                <w:color w:val="000000"/>
                <w:kern w:val="0"/>
                <w:sz w:val="22"/>
                <w:szCs w:val="22"/>
                <w:lang w:val="en-US" w:eastAsia="zh-CN" w:bidi="ar"/>
              </w:rPr>
              <w:t xml:space="preserve">蔬菜 </w:t>
            </w:r>
          </w:p>
        </w:tc>
        <w:tc>
          <w:tcPr>
            <w:tcW w:w="327" w:type="pct"/>
            <w:noWrap w:val="0"/>
            <w:vAlign w:val="center"/>
          </w:tcPr>
          <w:p w14:paraId="549B334E">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 xml:space="preserve">蔬菜 </w:t>
            </w:r>
          </w:p>
        </w:tc>
        <w:tc>
          <w:tcPr>
            <w:tcW w:w="3980" w:type="pct"/>
            <w:noWrap w:val="0"/>
            <w:vAlign w:val="center"/>
          </w:tcPr>
          <w:p w14:paraId="7AAF891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1.农药残留数量低于国家规定，无重金属超标等，符合国家食品安全标准。 </w:t>
            </w:r>
          </w:p>
          <w:p w14:paraId="2867242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2.当季各类新鲜蔬菜以及大棚种植蔬菜，蔬菜类必须保证无黄叶、枯死叶、无虫、无杂质，原菜须保证菜面干净、无明显泥土、码放整齐、无破损、大小基本统一、不得过熟或欠熟；净菜 须保证菜面完全干净、无泥土、按统一标准加工、码放整齐、无须二次处理可以直接进行熟加工。 </w:t>
            </w:r>
          </w:p>
          <w:p w14:paraId="2EB5D77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(1)叶菜类属同一品种规格，肉质鲜嫩，形态好，色泽正常；茎基部削平，无枯黄叶、病叶、泥土、明显机械伤和病虫害伤；无烧心焦边、腐烂等现象，。 </w:t>
            </w:r>
          </w:p>
          <w:p w14:paraId="25FB553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(2)茄果属于同一品种规格，色鲜，果实圆整、光洁，成熟度适中，整齐，无烂果、异味、病虫和明显机械损伤。 </w:t>
            </w:r>
          </w:p>
          <w:p w14:paraId="3E949FB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(3)瓜类属于同一品种规格，形状、色泽一致，瓜条均匀，无疤点，无断裂，不带泥土，无畸形瓜、病虫害瓜，烂瓜、无明显机械伤。 </w:t>
            </w:r>
          </w:p>
          <w:p w14:paraId="550525A7">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(4)根菜类属于同一品种规格，皮细光滑，色泽良好，大小均匀，肉质脆嫩致密。新鲜、无畸形、裂痕、糠心、病虫害斑，一带泥沙，不带茎叶、须根。 </w:t>
            </w:r>
          </w:p>
          <w:p w14:paraId="07B9749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(5)薯芋类属同一品种规格，色泽一致，不带泥沙，不带茎叶、须根，无机械和病虫害斑，无腐烂、干瘪。马铃薯皮不能变绿色。 </w:t>
            </w:r>
          </w:p>
          <w:p w14:paraId="772B52A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(6)葱蒜类属同一品种规格，允许葱和青蒜保留干净须根，去老叶韭菜去根去老叶，蒜头、洋葱去根去枯叶；可食部分质地幼嫩，不带泥沙杂质，无病虫 害斑。 </w:t>
            </w:r>
          </w:p>
          <w:p w14:paraId="1EF4F4D7">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(7)豆类属同一品种规格形态完整，成熟度适中，无病虫害斑。食荚类：豆荚新鲜幼嫩，均匀。食豆仁类：籽粒饱满较均匀，无发芽。不带泥土、杂质。 </w:t>
            </w:r>
          </w:p>
          <w:p w14:paraId="3E79F16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(8)水生类属同一品种规格，肉质嫩，成熟度适中，无泥土、杂质、机械伤，不干瘪，不腐烂霉变。 </w:t>
            </w:r>
          </w:p>
          <w:p w14:paraId="663DE077">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(9)芽苗类芽苗幼嫩，不带豆壳杂质，新鲜不浸水。 </w:t>
            </w:r>
          </w:p>
          <w:p w14:paraId="78401D03">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(10)菌菇类属同一品种规格，新鲜，不浸水、不带泥沙杂质。</w:t>
            </w:r>
          </w:p>
        </w:tc>
        <w:tc>
          <w:tcPr>
            <w:tcW w:w="306" w:type="pct"/>
            <w:vMerge w:val="continue"/>
            <w:noWrap w:val="0"/>
            <w:vAlign w:val="center"/>
          </w:tcPr>
          <w:p w14:paraId="65B343B6">
            <w:pPr>
              <w:spacing w:line="360" w:lineRule="auto"/>
              <w:rPr>
                <w:rFonts w:hint="eastAsia" w:ascii="宋体" w:hAnsi="宋体" w:eastAsia="宋体" w:cs="宋体"/>
                <w:color w:val="FF0000"/>
                <w:sz w:val="22"/>
                <w:szCs w:val="22"/>
              </w:rPr>
            </w:pPr>
          </w:p>
        </w:tc>
      </w:tr>
      <w:tr w14:paraId="1CF63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61" w:type="pct"/>
            <w:noWrap w:val="0"/>
            <w:vAlign w:val="center"/>
          </w:tcPr>
          <w:p w14:paraId="2BA37F78">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6</w:t>
            </w:r>
          </w:p>
        </w:tc>
        <w:tc>
          <w:tcPr>
            <w:tcW w:w="222" w:type="pct"/>
            <w:noWrap w:val="0"/>
            <w:vAlign w:val="center"/>
          </w:tcPr>
          <w:p w14:paraId="11E9E762">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 xml:space="preserve">水果类 </w:t>
            </w:r>
          </w:p>
        </w:tc>
        <w:tc>
          <w:tcPr>
            <w:tcW w:w="327" w:type="pct"/>
            <w:noWrap w:val="0"/>
            <w:vAlign w:val="center"/>
          </w:tcPr>
          <w:p w14:paraId="41A08B7E">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 xml:space="preserve">水果 </w:t>
            </w:r>
          </w:p>
        </w:tc>
        <w:tc>
          <w:tcPr>
            <w:tcW w:w="3980" w:type="pct"/>
            <w:noWrap w:val="0"/>
            <w:vAlign w:val="center"/>
          </w:tcPr>
          <w:p w14:paraId="6A1652C1">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1.应季供应果类；品质良好，无破损、大小基本统一、不得过熟或欠熟。 </w:t>
            </w:r>
          </w:p>
          <w:p w14:paraId="025C32D9">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2.水果必须保证新鲜并满足食品安全国家标准。</w:t>
            </w:r>
          </w:p>
          <w:p w14:paraId="4EC42C2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3、符合国家食品安全标准（GB 2762-2022《食品安全国家标准食品中污染物限量》，无腐败变质、无霉变。</w:t>
            </w:r>
          </w:p>
        </w:tc>
        <w:tc>
          <w:tcPr>
            <w:tcW w:w="306" w:type="pct"/>
            <w:vMerge w:val="continue"/>
            <w:noWrap w:val="0"/>
            <w:vAlign w:val="center"/>
          </w:tcPr>
          <w:p w14:paraId="3B71BE91">
            <w:pPr>
              <w:spacing w:line="360" w:lineRule="auto"/>
              <w:rPr>
                <w:rFonts w:hint="eastAsia" w:ascii="宋体" w:hAnsi="宋体" w:eastAsia="宋体" w:cs="宋体"/>
                <w:color w:val="FF0000"/>
                <w:sz w:val="22"/>
                <w:szCs w:val="22"/>
              </w:rPr>
            </w:pPr>
          </w:p>
        </w:tc>
      </w:tr>
      <w:tr w14:paraId="4452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1" w:type="pct"/>
            <w:noWrap w:val="0"/>
            <w:vAlign w:val="center"/>
          </w:tcPr>
          <w:p w14:paraId="2EFE6730">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7</w:t>
            </w:r>
          </w:p>
        </w:tc>
        <w:tc>
          <w:tcPr>
            <w:tcW w:w="222" w:type="pct"/>
            <w:noWrap w:val="0"/>
            <w:vAlign w:val="center"/>
          </w:tcPr>
          <w:p w14:paraId="1603624A">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调料 </w:t>
            </w:r>
          </w:p>
          <w:p w14:paraId="2DFB728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类</w:t>
            </w:r>
          </w:p>
          <w:p w14:paraId="316300BC">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p>
        </w:tc>
        <w:tc>
          <w:tcPr>
            <w:tcW w:w="327" w:type="pct"/>
            <w:noWrap w:val="0"/>
            <w:vAlign w:val="center"/>
          </w:tcPr>
          <w:p w14:paraId="278C05AA">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食用盐、 </w:t>
            </w:r>
          </w:p>
          <w:p w14:paraId="43C522B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精、</w:t>
            </w:r>
          </w:p>
          <w:p w14:paraId="35651B2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老抽、 </w:t>
            </w:r>
          </w:p>
          <w:p w14:paraId="11DEA6FB">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生抽、 </w:t>
            </w:r>
          </w:p>
          <w:p w14:paraId="500D11F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醋、 </w:t>
            </w:r>
          </w:p>
          <w:p w14:paraId="78C56A2F">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蚝油、 </w:t>
            </w:r>
          </w:p>
          <w:p w14:paraId="5436C99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香油、 </w:t>
            </w:r>
          </w:p>
          <w:p w14:paraId="66A77AF5">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孜然粉、 </w:t>
            </w:r>
          </w:p>
          <w:p w14:paraId="572DD866">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白糖、 </w:t>
            </w:r>
          </w:p>
          <w:p w14:paraId="370F93D5">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冰糖、 </w:t>
            </w:r>
          </w:p>
          <w:p w14:paraId="76B56888">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红糖、 </w:t>
            </w:r>
          </w:p>
          <w:p w14:paraId="64DF1C66">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豆瓣酱、 </w:t>
            </w:r>
          </w:p>
          <w:p w14:paraId="3373023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番茄酱、 </w:t>
            </w:r>
          </w:p>
          <w:p w14:paraId="27191893">
            <w:pPr>
              <w:keepNext w:val="0"/>
              <w:keepLines w:val="0"/>
              <w:widowControl/>
              <w:suppressLineNumbers w:val="0"/>
              <w:jc w:val="left"/>
              <w:rPr>
                <w:rFonts w:hint="default" w:ascii="宋体" w:hAnsi="宋体" w:eastAsia="宋体" w:cs="宋体"/>
                <w:sz w:val="22"/>
                <w:szCs w:val="22"/>
                <w:lang w:val="en-US"/>
              </w:rPr>
            </w:pPr>
            <w:r>
              <w:rPr>
                <w:rFonts w:hint="eastAsia" w:ascii="宋体" w:hAnsi="宋体" w:eastAsia="宋体" w:cs="宋体"/>
                <w:color w:val="000000"/>
                <w:kern w:val="0"/>
                <w:sz w:val="22"/>
                <w:szCs w:val="22"/>
                <w:lang w:val="en-US" w:eastAsia="zh-CN" w:bidi="ar"/>
              </w:rPr>
              <w:t>甜面酱等</w:t>
            </w:r>
          </w:p>
          <w:p w14:paraId="419E90C6">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p>
        </w:tc>
        <w:tc>
          <w:tcPr>
            <w:tcW w:w="3980" w:type="pct"/>
            <w:noWrap w:val="0"/>
            <w:vAlign w:val="center"/>
          </w:tcPr>
          <w:p w14:paraId="2CA39DEA">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1.食用盐：白色味咸，无可见外来杂质，无苦味、涩味、无异臭，水溶后无沉淀物。</w:t>
            </w:r>
          </w:p>
          <w:p w14:paraId="2142FD29">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2.鸡精：品质要求：具有正常鸡精、味精滋味，不得有异味。水溶后无沉淀物；重量要求：标明重量的±2%；包装要求：内塑料袋，外编织袋或牛皮纸，字迹清晰，外袋清洁无破损，无污染。 </w:t>
            </w:r>
          </w:p>
          <w:p w14:paraId="13BCE76A">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3.老抽、生抽：按 GB/T18186-2000和国家有关标准、规定执行，酿造酱油包装上有食品生产许可证编号。品质要求；具有正常酿造酱油的色泽，气味和滋味无不良气味，不得有酸、苦涩等异味和霉味，不浑浊，无沉淀； </w:t>
            </w:r>
          </w:p>
          <w:p w14:paraId="1C0B8E9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4.醋：具有正常醋的色泽，气味和滋味无不良气味，不得有苦涩等异味和霉味，不浑浊，无沉淀。按GB/T18187-2000和国家有关标准、规定执行，酿造食醋包装有食品生产许可证编号。 </w:t>
            </w:r>
          </w:p>
          <w:p w14:paraId="69570686">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5.蚝油：色泽为棕褐色至红褐色，鲜亮有光泽；滋味及气味应具有鲜蚝汁应有的滋味，无异味；形态粘稠适中，细滑均匀，不分层，不结块，无沉淀；不允许存在杂质。 </w:t>
            </w:r>
          </w:p>
          <w:p w14:paraId="118AA70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6.香油：外观为清亮、无色透明的液体，不应有异物、悬浮物、沉淀物等，具有纯正、浓郁的香味和味道，不应有淡菜味、霉味等异味，颜色应为淡黄色至淡棕色，具有高度稳定性。 </w:t>
            </w:r>
          </w:p>
          <w:p w14:paraId="0FDD94E3">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7.孜然粉：主要由安息茴香与八角、桂皮等香料一起调配磨制而成的，深褐色，粉末均匀，有其特有的味道，无杂质，无霉烂。 </w:t>
            </w:r>
          </w:p>
          <w:p w14:paraId="69B28E7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8.白糖：晶粒均匀，干燥松散，颜色洁白，无色糖粒、糖块、绵白糖质地柔软，糖的晶体或水溶液味甜纯正，无异臭、异味、异物。 </w:t>
            </w:r>
          </w:p>
          <w:p w14:paraId="156D08C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9.冰糖：晶粒均匀，干燥松散，颜色洁白，透明或半透明，无杂质。 </w:t>
            </w:r>
          </w:p>
          <w:p w14:paraId="08793365">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10.红糖：晶粒均匀，干燥松散，颜色褐红，透明或半透明，无杂质。 </w:t>
            </w:r>
          </w:p>
          <w:p w14:paraId="5F7500A4">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11.豆瓣酱、番茄酱、甜面酱：有酱香和酯香，味鲜醇厚，咸淡适口，不得有酸、苦涩、焦煳及其他异味。</w:t>
            </w:r>
          </w:p>
          <w:p w14:paraId="15EE4CE8">
            <w:pPr>
              <w:keepNext w:val="0"/>
              <w:keepLines w:val="0"/>
              <w:widowControl/>
              <w:suppressLineNumbers w:val="0"/>
              <w:jc w:val="left"/>
              <w:rPr>
                <w:rFonts w:hint="eastAsia" w:ascii="宋体" w:hAnsi="宋体" w:eastAsia="宋体" w:cs="宋体"/>
                <w:color w:val="FF0000"/>
                <w:sz w:val="22"/>
                <w:szCs w:val="22"/>
                <w:lang w:val="en-US" w:eastAsia="zh-CN"/>
              </w:rPr>
            </w:pPr>
            <w:r>
              <w:rPr>
                <w:rFonts w:hint="eastAsia" w:ascii="宋体" w:hAnsi="宋体" w:eastAsia="宋体" w:cs="宋体"/>
                <w:color w:val="auto"/>
                <w:kern w:val="0"/>
                <w:sz w:val="22"/>
                <w:szCs w:val="22"/>
                <w:lang w:val="en-US" w:eastAsia="zh-CN" w:bidi="ar"/>
              </w:rPr>
              <w:t>供货时保质期应不低于应有保质期的三分之二时间。</w:t>
            </w:r>
          </w:p>
        </w:tc>
        <w:tc>
          <w:tcPr>
            <w:tcW w:w="306" w:type="pct"/>
            <w:vMerge w:val="continue"/>
            <w:noWrap w:val="0"/>
            <w:vAlign w:val="center"/>
          </w:tcPr>
          <w:p w14:paraId="199D0B3A">
            <w:pPr>
              <w:spacing w:line="360" w:lineRule="auto"/>
              <w:rPr>
                <w:rFonts w:hint="eastAsia" w:ascii="宋体" w:hAnsi="宋体" w:eastAsia="宋体" w:cs="宋体"/>
                <w:color w:val="FF0000"/>
                <w:sz w:val="22"/>
                <w:szCs w:val="22"/>
              </w:rPr>
            </w:pPr>
          </w:p>
        </w:tc>
      </w:tr>
      <w:tr w14:paraId="0AC2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61" w:type="pct"/>
            <w:noWrap w:val="0"/>
            <w:vAlign w:val="center"/>
          </w:tcPr>
          <w:p w14:paraId="3757D42C">
            <w:pPr>
              <w:spacing w:line="360" w:lineRule="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8</w:t>
            </w:r>
          </w:p>
        </w:tc>
        <w:tc>
          <w:tcPr>
            <w:tcW w:w="222" w:type="pct"/>
            <w:noWrap w:val="0"/>
            <w:vAlign w:val="center"/>
          </w:tcPr>
          <w:p w14:paraId="710FF09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干杂 </w:t>
            </w:r>
          </w:p>
          <w:p w14:paraId="0D13BC5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类</w:t>
            </w:r>
          </w:p>
          <w:p w14:paraId="6D01E85B">
            <w:pPr>
              <w:spacing w:line="360" w:lineRule="auto"/>
              <w:rPr>
                <w:rFonts w:hint="eastAsia" w:ascii="宋体" w:hAnsi="宋体" w:eastAsia="宋体" w:cs="宋体"/>
                <w:color w:val="FF0000"/>
                <w:kern w:val="2"/>
                <w:sz w:val="22"/>
                <w:szCs w:val="22"/>
                <w:lang w:val="en-US" w:eastAsia="zh-CN" w:bidi="ar-SA"/>
              </w:rPr>
            </w:pPr>
          </w:p>
        </w:tc>
        <w:tc>
          <w:tcPr>
            <w:tcW w:w="327" w:type="pct"/>
            <w:noWrap w:val="0"/>
            <w:vAlign w:val="center"/>
          </w:tcPr>
          <w:p w14:paraId="2CBC373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粉条、 </w:t>
            </w:r>
          </w:p>
          <w:p w14:paraId="74385345">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粉皮、 </w:t>
            </w:r>
          </w:p>
          <w:p w14:paraId="4FF62E4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粉丝</w:t>
            </w:r>
          </w:p>
          <w:p w14:paraId="71C78EB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银耳、 </w:t>
            </w:r>
          </w:p>
          <w:p w14:paraId="47878C2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木耳、 </w:t>
            </w:r>
          </w:p>
          <w:p w14:paraId="638824A9">
            <w:pPr>
              <w:keepNext w:val="0"/>
              <w:keepLines w:val="0"/>
              <w:widowControl/>
              <w:suppressLineNumbers w:val="0"/>
              <w:jc w:val="left"/>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腐竹</w:t>
            </w:r>
            <w:r>
              <w:rPr>
                <w:rFonts w:hint="eastAsia" w:ascii="宋体" w:hAnsi="宋体" w:eastAsia="宋体" w:cs="宋体"/>
                <w:sz w:val="22"/>
                <w:szCs w:val="22"/>
                <w:lang w:val="en-US" w:eastAsia="zh-CN"/>
              </w:rPr>
              <w:t>等</w:t>
            </w:r>
          </w:p>
        </w:tc>
        <w:tc>
          <w:tcPr>
            <w:tcW w:w="3980" w:type="pct"/>
            <w:noWrap w:val="0"/>
            <w:vAlign w:val="center"/>
          </w:tcPr>
          <w:p w14:paraId="62E487A8">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1.粗细厚薄均匀、呈均匀的白色或浅黄色，有光泽，为枝条叶状，质脆易折，条状折断实心，无霉斑、杂质、虫蛀，有粉条、粉皮、粉丝特有香味，无酸、涩等不良气味。 </w:t>
            </w:r>
          </w:p>
          <w:p w14:paraId="1506618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2.须保证食材干净、不含非食品用化学物质、按统一标准加工、码放整齐、无须二次处理可以直接进行熟加工。</w:t>
            </w:r>
          </w:p>
          <w:p w14:paraId="4E85D5BE">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3.银耳：要求完整，无破损，无耳脚，呈圆形或者扇形，肉质肥厚，朵形较为完整，白色或者略带米黄色，整体色泽均匀含水量不得超过13%。产品不能含有任何杂质，包括泥沙和耳脚。气味应具有独特的银耳香气 。 </w:t>
            </w:r>
          </w:p>
          <w:p w14:paraId="73708C7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4.木耳：朵片完整，朵片大小均匀；含水量不超过14%；杂质不超过0.3% 。耳面黑褐色，有光亮感；没有虫蛀耳、霉烂耳。 </w:t>
            </w:r>
          </w:p>
          <w:p w14:paraId="4FB3044B">
            <w:pPr>
              <w:keepNext w:val="0"/>
              <w:keepLines w:val="0"/>
              <w:widowControl/>
              <w:suppressLineNumbers w:val="0"/>
              <w:jc w:val="left"/>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5.腐竹：浅黄色、有光泽、味正、枝条均匀、有空心、无杂质及异味。薄厚均匀，形状完整，有韧性。</w:t>
            </w:r>
          </w:p>
        </w:tc>
        <w:tc>
          <w:tcPr>
            <w:tcW w:w="306" w:type="pct"/>
            <w:vMerge w:val="continue"/>
            <w:noWrap w:val="0"/>
            <w:vAlign w:val="center"/>
          </w:tcPr>
          <w:p w14:paraId="001D684A">
            <w:pPr>
              <w:spacing w:line="360" w:lineRule="auto"/>
              <w:rPr>
                <w:rFonts w:hint="eastAsia" w:ascii="宋体" w:hAnsi="宋体" w:eastAsia="宋体" w:cs="宋体"/>
                <w:color w:val="FF0000"/>
                <w:sz w:val="22"/>
                <w:szCs w:val="22"/>
              </w:rPr>
            </w:pPr>
          </w:p>
        </w:tc>
      </w:tr>
      <w:tr w14:paraId="5B6C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61" w:type="pct"/>
            <w:noWrap w:val="0"/>
            <w:vAlign w:val="center"/>
          </w:tcPr>
          <w:p w14:paraId="03C0E8AA">
            <w:pPr>
              <w:spacing w:line="360" w:lineRule="auto"/>
              <w:rPr>
                <w:rFonts w:hint="default"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9</w:t>
            </w:r>
          </w:p>
        </w:tc>
        <w:tc>
          <w:tcPr>
            <w:tcW w:w="222" w:type="pct"/>
            <w:noWrap w:val="0"/>
            <w:vAlign w:val="center"/>
          </w:tcPr>
          <w:p w14:paraId="3FCDDD18">
            <w:pPr>
              <w:keepNext w:val="0"/>
              <w:keepLines w:val="0"/>
              <w:widowControl/>
              <w:suppressLineNumbers w:val="0"/>
              <w:jc w:val="left"/>
              <w:rPr>
                <w:rFonts w:hint="default" w:ascii="宋体" w:hAnsi="宋体" w:eastAsia="宋体" w:cs="宋体"/>
                <w:color w:val="FF0000"/>
                <w:kern w:val="2"/>
                <w:sz w:val="22"/>
                <w:szCs w:val="22"/>
                <w:lang w:val="en-US" w:eastAsia="zh-CN" w:bidi="ar-SA"/>
              </w:rPr>
            </w:pPr>
            <w:r>
              <w:rPr>
                <w:rFonts w:hint="eastAsia" w:ascii="宋体" w:hAnsi="宋体" w:eastAsia="宋体" w:cs="宋体"/>
                <w:b/>
                <w:bCs/>
                <w:color w:val="000000"/>
                <w:kern w:val="0"/>
                <w:sz w:val="22"/>
                <w:szCs w:val="22"/>
                <w:lang w:val="en-US" w:eastAsia="zh-CN" w:bidi="ar"/>
              </w:rPr>
              <w:t>油炸、烤焙类</w:t>
            </w:r>
          </w:p>
        </w:tc>
        <w:tc>
          <w:tcPr>
            <w:tcW w:w="327" w:type="pct"/>
            <w:noWrap w:val="0"/>
            <w:vAlign w:val="center"/>
          </w:tcPr>
          <w:p w14:paraId="0B36D872">
            <w:pPr>
              <w:spacing w:line="360" w:lineRule="auto"/>
              <w:rPr>
                <w:rFonts w:hint="default" w:ascii="宋体" w:hAnsi="宋体" w:eastAsia="宋体" w:cs="宋体"/>
                <w:color w:val="FF0000"/>
                <w:kern w:val="2"/>
                <w:sz w:val="22"/>
                <w:szCs w:val="22"/>
                <w:lang w:val="en-US" w:eastAsia="zh-CN" w:bidi="ar-SA"/>
              </w:rPr>
            </w:pPr>
            <w:r>
              <w:rPr>
                <w:rFonts w:hint="eastAsia" w:ascii="宋体" w:hAnsi="宋体" w:eastAsia="宋体" w:cs="宋体"/>
                <w:color w:val="auto"/>
                <w:kern w:val="2"/>
                <w:sz w:val="22"/>
                <w:szCs w:val="22"/>
                <w:lang w:val="en-US" w:eastAsia="zh-CN" w:bidi="ar-SA"/>
              </w:rPr>
              <w:t>油条烧饼等</w:t>
            </w:r>
          </w:p>
        </w:tc>
        <w:tc>
          <w:tcPr>
            <w:tcW w:w="3980" w:type="pct"/>
            <w:noWrap w:val="0"/>
            <w:vAlign w:val="center"/>
          </w:tcPr>
          <w:p w14:paraId="300F11F8">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以面粉、米粉、豆类、薯类、蔬菜、水果、果仁等为主要原料，按一定工艺配方，经油炸、烤焙制成的各种食品。</w:t>
            </w:r>
          </w:p>
          <w:p w14:paraId="73813126">
            <w:pPr>
              <w:keepNext w:val="0"/>
              <w:keepLines w:val="0"/>
              <w:widowControl/>
              <w:numPr>
                <w:ilvl w:val="0"/>
                <w:numId w:val="0"/>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1.外观：具有本品种特有的正常色泽，无焦、生现象。</w:t>
            </w:r>
          </w:p>
          <w:p w14:paraId="77F9CD43">
            <w:pPr>
              <w:keepNext w:val="0"/>
              <w:keepLines w:val="0"/>
              <w:widowControl/>
              <w:numPr>
                <w:ilvl w:val="0"/>
                <w:numId w:val="0"/>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2.气味：正常气味、无霉味、哈喇及其他异味。</w:t>
            </w:r>
          </w:p>
          <w:p w14:paraId="393AC827">
            <w:pPr>
              <w:keepNext w:val="0"/>
              <w:keepLines w:val="0"/>
              <w:widowControl/>
              <w:numPr>
                <w:ilvl w:val="0"/>
                <w:numId w:val="0"/>
              </w:numPr>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3.杂质：无正常视力可见的外来杂质。</w:t>
            </w:r>
          </w:p>
          <w:p w14:paraId="72536644">
            <w:pPr>
              <w:keepNext w:val="0"/>
              <w:keepLines w:val="0"/>
              <w:widowControl/>
              <w:numPr>
                <w:ilvl w:val="0"/>
                <w:numId w:val="0"/>
              </w:numPr>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4.技术要求、卫生指标、检验方法、生产加工过程、标识、包装、贮存和运输的卫生要求等按 GB16565-2003 和国家有关标准、规定执行。</w:t>
            </w:r>
          </w:p>
        </w:tc>
        <w:tc>
          <w:tcPr>
            <w:tcW w:w="306" w:type="pct"/>
            <w:vMerge w:val="continue"/>
            <w:noWrap w:val="0"/>
            <w:vAlign w:val="center"/>
          </w:tcPr>
          <w:p w14:paraId="70836F49">
            <w:pPr>
              <w:spacing w:line="360" w:lineRule="auto"/>
              <w:rPr>
                <w:rFonts w:hint="eastAsia" w:ascii="宋体" w:hAnsi="宋体" w:eastAsia="宋体" w:cs="宋体"/>
                <w:color w:val="FF0000"/>
                <w:sz w:val="22"/>
                <w:szCs w:val="22"/>
              </w:rPr>
            </w:pPr>
          </w:p>
        </w:tc>
      </w:tr>
      <w:tr w14:paraId="79A8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1" w:type="pct"/>
            <w:vMerge w:val="restart"/>
            <w:noWrap w:val="0"/>
            <w:vAlign w:val="center"/>
          </w:tcPr>
          <w:p w14:paraId="138EAE54">
            <w:pPr>
              <w:spacing w:line="360" w:lineRule="auto"/>
              <w:rPr>
                <w:rFonts w:hint="default"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10</w:t>
            </w:r>
          </w:p>
        </w:tc>
        <w:tc>
          <w:tcPr>
            <w:tcW w:w="222" w:type="pct"/>
            <w:vMerge w:val="restart"/>
            <w:noWrap w:val="0"/>
            <w:vAlign w:val="center"/>
          </w:tcPr>
          <w:p w14:paraId="43F322A7">
            <w:pPr>
              <w:spacing w:line="360" w:lineRule="auto"/>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其他副食品</w:t>
            </w:r>
          </w:p>
        </w:tc>
        <w:tc>
          <w:tcPr>
            <w:tcW w:w="327" w:type="pct"/>
            <w:noWrap w:val="0"/>
            <w:vAlign w:val="center"/>
          </w:tcPr>
          <w:p w14:paraId="322EC635">
            <w:pPr>
              <w:spacing w:line="360" w:lineRule="auto"/>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 xml:space="preserve">灭菌乳 </w:t>
            </w:r>
          </w:p>
        </w:tc>
        <w:tc>
          <w:tcPr>
            <w:tcW w:w="3980" w:type="pct"/>
            <w:noWrap w:val="0"/>
            <w:vAlign w:val="center"/>
          </w:tcPr>
          <w:p w14:paraId="41C333F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1.产品类型：全脂灭菌乳 </w:t>
            </w:r>
          </w:p>
          <w:p w14:paraId="4E6EAE8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2.配料：生牛乳 </w:t>
            </w:r>
          </w:p>
          <w:p w14:paraId="3D74D2DF">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3.产品保质期：6个月。 </w:t>
            </w:r>
          </w:p>
          <w:p w14:paraId="3AD8F97D">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4.贮存条件；常温密闭保存，开启前无需冷藏，开启后立即饮用。</w:t>
            </w:r>
          </w:p>
          <w:p w14:paraId="6B7BDB90">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5. 蛋白质含量≥3.6g/100mL</w:t>
            </w:r>
          </w:p>
          <w:p w14:paraId="275E6D09">
            <w:pPr>
              <w:keepNext w:val="0"/>
              <w:keepLines w:val="0"/>
              <w:widowControl/>
              <w:suppressLineNumbers w:val="0"/>
              <w:jc w:val="left"/>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6.交货时保质期应不低于应有保质期的三分之二时间。</w:t>
            </w:r>
          </w:p>
        </w:tc>
        <w:tc>
          <w:tcPr>
            <w:tcW w:w="306" w:type="pct"/>
            <w:vMerge w:val="continue"/>
            <w:noWrap w:val="0"/>
            <w:vAlign w:val="center"/>
          </w:tcPr>
          <w:p w14:paraId="069AD65E">
            <w:pPr>
              <w:spacing w:line="360" w:lineRule="auto"/>
              <w:rPr>
                <w:rFonts w:hint="eastAsia" w:ascii="宋体" w:hAnsi="宋体" w:eastAsia="宋体" w:cs="宋体"/>
                <w:color w:val="FF0000"/>
                <w:sz w:val="22"/>
                <w:szCs w:val="22"/>
              </w:rPr>
            </w:pPr>
          </w:p>
        </w:tc>
      </w:tr>
      <w:tr w14:paraId="08F6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61" w:type="pct"/>
            <w:vMerge w:val="continue"/>
            <w:noWrap w:val="0"/>
            <w:vAlign w:val="center"/>
          </w:tcPr>
          <w:p w14:paraId="75BA6424">
            <w:pPr>
              <w:spacing w:line="360" w:lineRule="auto"/>
              <w:rPr>
                <w:rFonts w:hint="eastAsia" w:ascii="宋体" w:hAnsi="宋体" w:eastAsia="宋体" w:cs="宋体"/>
                <w:color w:val="FF0000"/>
                <w:sz w:val="22"/>
                <w:szCs w:val="22"/>
                <w:lang w:val="en-US" w:eastAsia="zh-CN"/>
              </w:rPr>
            </w:pPr>
          </w:p>
        </w:tc>
        <w:tc>
          <w:tcPr>
            <w:tcW w:w="222" w:type="pct"/>
            <w:vMerge w:val="continue"/>
            <w:noWrap w:val="0"/>
            <w:vAlign w:val="center"/>
          </w:tcPr>
          <w:p w14:paraId="5C02FD1C">
            <w:pPr>
              <w:spacing w:line="360" w:lineRule="auto"/>
              <w:rPr>
                <w:rFonts w:hint="eastAsia" w:ascii="宋体" w:hAnsi="宋体" w:eastAsia="宋体" w:cs="宋体"/>
                <w:color w:val="000000"/>
                <w:kern w:val="0"/>
                <w:sz w:val="22"/>
                <w:szCs w:val="22"/>
                <w:lang w:val="en-US" w:eastAsia="zh-CN" w:bidi="ar"/>
              </w:rPr>
            </w:pPr>
          </w:p>
        </w:tc>
        <w:tc>
          <w:tcPr>
            <w:tcW w:w="327" w:type="pct"/>
            <w:noWrap w:val="0"/>
            <w:vAlign w:val="center"/>
          </w:tcPr>
          <w:p w14:paraId="1ED0E10E">
            <w:pPr>
              <w:keepNext w:val="0"/>
              <w:keepLines w:val="0"/>
              <w:widowControl/>
              <w:suppressLineNumbers w:val="0"/>
              <w:spacing w:line="360" w:lineRule="auto"/>
              <w:jc w:val="left"/>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 xml:space="preserve">酸奶 </w:t>
            </w:r>
          </w:p>
        </w:tc>
        <w:tc>
          <w:tcPr>
            <w:tcW w:w="3980" w:type="pct"/>
            <w:noWrap w:val="0"/>
            <w:vAlign w:val="center"/>
          </w:tcPr>
          <w:p w14:paraId="206EC234">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1.产品类型：酸奶 </w:t>
            </w:r>
          </w:p>
          <w:p w14:paraId="2C69EDDB">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2.配料：生牛乳添加量&gt;80%； </w:t>
            </w:r>
          </w:p>
          <w:p w14:paraId="300D34ED">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3.酸奶的原料主要是优质的牛奶和乳酸菌，牛奶需要选择新鲜、无污染 的优质奶源，乳酸菌则需要选择活性强、益生菌效果好的菌种。</w:t>
            </w:r>
          </w:p>
          <w:p w14:paraId="06C5DFC3">
            <w:pPr>
              <w:keepNext w:val="0"/>
              <w:keepLines w:val="0"/>
              <w:widowControl/>
              <w:suppressLineNumbers w:val="0"/>
              <w:jc w:val="left"/>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4.交货时保质期应不低于应有保质期的三分之二时间。</w:t>
            </w:r>
          </w:p>
        </w:tc>
        <w:tc>
          <w:tcPr>
            <w:tcW w:w="306" w:type="pct"/>
            <w:vMerge w:val="continue"/>
            <w:noWrap w:val="0"/>
            <w:vAlign w:val="center"/>
          </w:tcPr>
          <w:p w14:paraId="5380A1D0">
            <w:pPr>
              <w:spacing w:line="360" w:lineRule="auto"/>
              <w:rPr>
                <w:rFonts w:hint="eastAsia" w:ascii="宋体" w:hAnsi="宋体" w:eastAsia="宋体" w:cs="宋体"/>
                <w:color w:val="FF0000"/>
                <w:sz w:val="22"/>
                <w:szCs w:val="22"/>
              </w:rPr>
            </w:pPr>
          </w:p>
        </w:tc>
      </w:tr>
      <w:tr w14:paraId="66964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1" w:type="pct"/>
            <w:vMerge w:val="continue"/>
            <w:noWrap w:val="0"/>
            <w:vAlign w:val="center"/>
          </w:tcPr>
          <w:p w14:paraId="64654F40">
            <w:pPr>
              <w:spacing w:line="360" w:lineRule="auto"/>
              <w:rPr>
                <w:rFonts w:hint="default" w:ascii="宋体" w:hAnsi="宋体" w:eastAsia="宋体" w:cs="宋体"/>
                <w:color w:val="FF0000"/>
                <w:sz w:val="22"/>
                <w:szCs w:val="22"/>
                <w:lang w:val="en-US" w:eastAsia="zh-CN"/>
              </w:rPr>
            </w:pPr>
          </w:p>
        </w:tc>
        <w:tc>
          <w:tcPr>
            <w:tcW w:w="222" w:type="pct"/>
            <w:vMerge w:val="continue"/>
            <w:noWrap w:val="0"/>
            <w:vAlign w:val="center"/>
          </w:tcPr>
          <w:p w14:paraId="1BB2F3B2">
            <w:pPr>
              <w:spacing w:line="360" w:lineRule="auto"/>
              <w:rPr>
                <w:rFonts w:hint="eastAsia" w:ascii="宋体" w:hAnsi="宋体" w:eastAsia="宋体" w:cs="宋体"/>
                <w:color w:val="FF0000"/>
                <w:kern w:val="2"/>
                <w:sz w:val="22"/>
                <w:szCs w:val="22"/>
                <w:lang w:val="en-US" w:eastAsia="zh-CN" w:bidi="ar-SA"/>
              </w:rPr>
            </w:pPr>
          </w:p>
        </w:tc>
        <w:tc>
          <w:tcPr>
            <w:tcW w:w="327" w:type="pct"/>
            <w:noWrap w:val="0"/>
            <w:vAlign w:val="center"/>
          </w:tcPr>
          <w:p w14:paraId="194AD5F1">
            <w:pPr>
              <w:keepNext w:val="0"/>
              <w:keepLines w:val="0"/>
              <w:widowControl/>
              <w:suppressLineNumbers w:val="0"/>
              <w:jc w:val="left"/>
              <w:rPr>
                <w:rFonts w:hint="default" w:ascii="宋体" w:hAnsi="宋体" w:eastAsia="宋体" w:cs="宋体"/>
                <w:sz w:val="22"/>
                <w:szCs w:val="22"/>
                <w:lang w:val="en-US"/>
              </w:rPr>
            </w:pPr>
            <w:r>
              <w:rPr>
                <w:rFonts w:hint="eastAsia" w:ascii="宋体" w:hAnsi="宋体" w:eastAsia="宋体" w:cs="宋体"/>
                <w:color w:val="000000"/>
                <w:kern w:val="0"/>
                <w:sz w:val="22"/>
                <w:szCs w:val="22"/>
                <w:lang w:val="en-US" w:eastAsia="zh-CN" w:bidi="ar"/>
              </w:rPr>
              <w:t>点心等</w:t>
            </w:r>
          </w:p>
          <w:p w14:paraId="2DE8C108">
            <w:pPr>
              <w:spacing w:line="360" w:lineRule="auto"/>
              <w:rPr>
                <w:rFonts w:hint="eastAsia" w:ascii="宋体" w:hAnsi="宋体" w:eastAsia="宋体" w:cs="宋体"/>
                <w:color w:val="FF0000"/>
                <w:kern w:val="2"/>
                <w:sz w:val="22"/>
                <w:szCs w:val="22"/>
                <w:lang w:val="en-US" w:eastAsia="zh-CN" w:bidi="ar-SA"/>
              </w:rPr>
            </w:pPr>
          </w:p>
        </w:tc>
        <w:tc>
          <w:tcPr>
            <w:tcW w:w="3980" w:type="pct"/>
            <w:noWrap w:val="0"/>
            <w:vAlign w:val="center"/>
          </w:tcPr>
          <w:p w14:paraId="1337EDC9">
            <w:pPr>
              <w:keepNext w:val="0"/>
              <w:keepLines w:val="0"/>
              <w:widowControl/>
              <w:suppressLineNumbers w:val="0"/>
              <w:jc w:val="left"/>
              <w:rPr>
                <w:rFonts w:hint="eastAsia" w:ascii="宋体" w:hAnsi="宋体" w:eastAsia="宋体" w:cs="宋体"/>
                <w:color w:val="FF0000"/>
                <w:kern w:val="2"/>
                <w:sz w:val="22"/>
                <w:szCs w:val="22"/>
                <w:lang w:val="en-US" w:eastAsia="zh-CN" w:bidi="ar-SA"/>
              </w:rPr>
            </w:pPr>
            <w:r>
              <w:rPr>
                <w:rFonts w:hint="eastAsia" w:ascii="宋体" w:hAnsi="宋体" w:eastAsia="宋体" w:cs="宋体"/>
                <w:color w:val="000000"/>
                <w:kern w:val="0"/>
                <w:sz w:val="22"/>
                <w:szCs w:val="22"/>
                <w:lang w:val="en-US" w:eastAsia="zh-CN" w:bidi="ar"/>
              </w:rPr>
              <w:t>所有产品应在保质期内，包装应完好无破漏，可视的内容物无腐烂霉变或影响使用的变形，不存在危及人身、财产安全的不合理危险。包装标签应符合《食品安全国家标准预包装食品标签通则》（GB7718-2011）要求，包括食材名称、配料表、净含量、规格、生产者（或）经销者的名称、地址和联系方式、生产日期和保质期、贮存条件、食材生产许可证编号、食材标准代号等内容。</w:t>
            </w:r>
          </w:p>
        </w:tc>
        <w:tc>
          <w:tcPr>
            <w:tcW w:w="306" w:type="pct"/>
            <w:vMerge w:val="continue"/>
            <w:noWrap w:val="0"/>
            <w:vAlign w:val="center"/>
          </w:tcPr>
          <w:p w14:paraId="41068CF3">
            <w:pPr>
              <w:spacing w:line="360" w:lineRule="auto"/>
              <w:rPr>
                <w:rFonts w:hint="eastAsia" w:ascii="宋体" w:hAnsi="宋体" w:eastAsia="宋体" w:cs="宋体"/>
                <w:color w:val="FF0000"/>
                <w:sz w:val="22"/>
                <w:szCs w:val="22"/>
              </w:rPr>
            </w:pPr>
          </w:p>
        </w:tc>
      </w:tr>
      <w:tr w14:paraId="232E8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61" w:type="pct"/>
            <w:noWrap w:val="0"/>
            <w:vAlign w:val="center"/>
          </w:tcPr>
          <w:p w14:paraId="713CBA11">
            <w:pPr>
              <w:spacing w:line="360" w:lineRule="auto"/>
              <w:rPr>
                <w:rFonts w:hint="eastAsia" w:ascii="宋体" w:hAnsi="宋体" w:eastAsia="宋体" w:cs="宋体"/>
                <w:color w:val="FF0000"/>
                <w:sz w:val="22"/>
                <w:szCs w:val="22"/>
                <w:lang w:val="en-US" w:eastAsia="zh-CN"/>
              </w:rPr>
            </w:pPr>
          </w:p>
        </w:tc>
        <w:tc>
          <w:tcPr>
            <w:tcW w:w="4531" w:type="pct"/>
            <w:gridSpan w:val="3"/>
            <w:noWrap w:val="0"/>
            <w:vAlign w:val="center"/>
          </w:tcPr>
          <w:p w14:paraId="1DF810C3">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交货时保质期应不低于应有保质期的三分之二时间。</w:t>
            </w:r>
          </w:p>
          <w:p w14:paraId="4514EA28">
            <w:pPr>
              <w:keepNext w:val="0"/>
              <w:keepLines w:val="0"/>
              <w:widowControl/>
              <w:suppressLineNumbers w:val="0"/>
              <w:jc w:val="left"/>
              <w:rPr>
                <w:rFonts w:hint="eastAsia" w:ascii="宋体" w:hAnsi="宋体" w:eastAsia="宋体" w:cs="宋体"/>
                <w:color w:val="FF0000"/>
                <w:sz w:val="22"/>
                <w:szCs w:val="22"/>
                <w:lang w:val="en-US" w:eastAsia="zh-CN"/>
              </w:rPr>
            </w:pPr>
            <w:r>
              <w:rPr>
                <w:rFonts w:hint="eastAsia" w:ascii="宋体" w:hAnsi="宋体" w:eastAsia="宋体" w:cs="宋体"/>
                <w:color w:val="000000"/>
                <w:kern w:val="0"/>
                <w:sz w:val="22"/>
                <w:szCs w:val="22"/>
                <w:lang w:val="en-US" w:eastAsia="zh-CN" w:bidi="ar"/>
              </w:rPr>
              <w:t>原则上每天上午配送一次，由甲方提前12小时提供配送供应食材清单，第二天</w:t>
            </w:r>
            <w:r>
              <w:rPr>
                <w:rFonts w:hint="eastAsia" w:ascii="宋体" w:hAnsi="宋体" w:cs="宋体"/>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点半前送达。不能按时配送，由供应商承担由此造成的一切损失。紧急情况2小时下单后送到，每月不超过2次。</w:t>
            </w:r>
          </w:p>
        </w:tc>
        <w:tc>
          <w:tcPr>
            <w:tcW w:w="306" w:type="pct"/>
            <w:vMerge w:val="continue"/>
            <w:noWrap w:val="0"/>
            <w:vAlign w:val="center"/>
          </w:tcPr>
          <w:p w14:paraId="7E3A69F7">
            <w:pPr>
              <w:spacing w:line="360" w:lineRule="auto"/>
              <w:rPr>
                <w:rFonts w:hint="eastAsia" w:ascii="宋体" w:hAnsi="宋体" w:eastAsia="宋体" w:cs="宋体"/>
                <w:color w:val="FF0000"/>
                <w:sz w:val="22"/>
                <w:szCs w:val="22"/>
              </w:rPr>
            </w:pPr>
          </w:p>
        </w:tc>
      </w:tr>
    </w:tbl>
    <w:p w14:paraId="079A0ADB">
      <w:pPr>
        <w:pStyle w:val="25"/>
        <w:widowControl w:val="0"/>
        <w:numPr>
          <w:ilvl w:val="0"/>
          <w:numId w:val="0"/>
        </w:numPr>
        <w:spacing w:after="120" w:line="440" w:lineRule="atLeast"/>
        <w:jc w:val="both"/>
        <w:rPr>
          <w:rFonts w:hint="eastAsia"/>
        </w:rPr>
      </w:pPr>
    </w:p>
    <w:p w14:paraId="49457363">
      <w:pPr>
        <w:pStyle w:val="26"/>
        <w:rPr>
          <w:rFonts w:hint="eastAsia"/>
        </w:rPr>
      </w:pPr>
    </w:p>
    <w:p w14:paraId="6F80DCD9">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备注： </w:t>
      </w:r>
    </w:p>
    <w:p w14:paraId="1174547E">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1.本次采购内容包含但不限于以上内容，以上需求数量以实际采购数量为准。 </w:t>
      </w:r>
    </w:p>
    <w:p w14:paraId="03110858">
      <w:pPr>
        <w:keepNext w:val="0"/>
        <w:keepLines w:val="0"/>
        <w:widowControl/>
        <w:suppressLineNumbers w:val="0"/>
        <w:ind w:firstLine="440" w:firstLineChars="20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2.所有配送食材品牌规格均由中标人提供，由采购人选定，中标人为保证食材的新鲜度，采购的食品原（辅）材料优先在本地市场进行采购，本地确实无法采购的品类，征得采购人同意后可以自行采购。</w:t>
      </w:r>
    </w:p>
    <w:p w14:paraId="7B53A488">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3.采购的食品在入库或使用前要核验所购食品与供货清单，相符后方可入库或使用，所有采购食品必须当天逐项记入《食品采购与进货验收出入库清单》。 </w:t>
      </w:r>
    </w:p>
    <w:p w14:paraId="15DF23DA">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注：①所供食材食品种类包括但不限于上表所列内容，具体根据甲方食堂食谱实际需求确定，所供食材相关标准不得低于国家质量等级要求。 </w:t>
      </w:r>
    </w:p>
    <w:p w14:paraId="1F5A5C86">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② 供应商需建立完善的质量追溯体系，确保食材来源可溯、去向可追、责任可究。</w:t>
      </w:r>
    </w:p>
    <w:p w14:paraId="5287C90B">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四、配送要求 </w:t>
      </w:r>
    </w:p>
    <w:p w14:paraId="34B2A07B">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auto"/>
          <w:kern w:val="0"/>
          <w:sz w:val="22"/>
          <w:szCs w:val="22"/>
          <w:lang w:val="en-US" w:eastAsia="zh-CN" w:bidi="ar"/>
        </w:rPr>
        <w:t>1.具备</w:t>
      </w:r>
      <w:r>
        <w:rPr>
          <w:rFonts w:hint="eastAsia" w:ascii="宋体" w:hAnsi="宋体" w:cs="宋体"/>
          <w:color w:val="auto"/>
          <w:kern w:val="0"/>
          <w:sz w:val="22"/>
          <w:szCs w:val="22"/>
          <w:lang w:val="en-US" w:eastAsia="zh-CN" w:bidi="ar"/>
        </w:rPr>
        <w:t>一</w:t>
      </w:r>
      <w:r>
        <w:rPr>
          <w:rFonts w:hint="eastAsia" w:ascii="宋体" w:hAnsi="宋体" w:eastAsia="宋体" w:cs="宋体"/>
          <w:color w:val="auto"/>
          <w:kern w:val="0"/>
          <w:sz w:val="22"/>
          <w:szCs w:val="22"/>
          <w:lang w:val="en-US" w:eastAsia="zh-CN" w:bidi="ar"/>
        </w:rPr>
        <w:t>个敬老院的配送能力，拥有冷链及常温配送车辆，确保食材在运输过程中的品质不受影响。配送</w:t>
      </w:r>
      <w:r>
        <w:rPr>
          <w:rFonts w:hint="eastAsia" w:ascii="宋体" w:hAnsi="宋体" w:eastAsia="宋体" w:cs="宋体"/>
          <w:color w:val="000000"/>
          <w:kern w:val="0"/>
          <w:sz w:val="22"/>
          <w:szCs w:val="22"/>
          <w:lang w:val="en-US" w:eastAsia="zh-CN" w:bidi="ar"/>
        </w:rPr>
        <w:t xml:space="preserve">车辆需保持清洁卫生，具备相应的防潮、防虫、防鼠等设施，防止粮油产品在运输过程中受到污染。能按照采购人指定的时间和地点，准确、及时地送达食材。同时，要具备应对突发情况的应急配送能力，如恶劣天气、交通管制等。 </w:t>
      </w:r>
    </w:p>
    <w:p w14:paraId="79C4C35B">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2.供应商所提供的食材及服务必须符合采购文件所描述的标准，如果没有提及适用标准，则应符合中华人民共和国有关机构发布的最新版本的标准。食材还应符合国家有关安全、环保、卫生之规定。 </w:t>
      </w:r>
    </w:p>
    <w:p w14:paraId="67766C25">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3.供应商应充分理解并认真遵循采购人的要求，保证合同食材均为正规生产的新鲜、无毒、无辐射、无侵权、检验合格且符合国家有关卫生、质量、包装和保质标准的货品。 </w:t>
      </w:r>
    </w:p>
    <w:p w14:paraId="6A780191">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4.供应商定期将卫生检验报告、质量检测报告、产品合格证随同交到采购人指定的负责人。 </w:t>
      </w:r>
    </w:p>
    <w:p w14:paraId="73918D15">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5.货物的包装必须完整清洁（无损、无污、无皱），采购人有权拒收包装不整齐、已拆封的商品。采购人发现商品出现损坏（包括表面损坏），或出现水渍、串味、受潮等导致货物性质改变的，供应商必须无条件更换。供应商保证所提供的产品具有合法来源，并在产品上标明。否则，采购人有权退货，成交供应商必须在2小时内予以退换补货。 </w:t>
      </w:r>
    </w:p>
    <w:p w14:paraId="719637DD">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五、食材验收 </w:t>
      </w:r>
    </w:p>
    <w:p w14:paraId="2B6438BB">
      <w:pPr>
        <w:keepNext w:val="0"/>
        <w:keepLines w:val="0"/>
        <w:widowControl/>
        <w:suppressLineNumbers w:val="0"/>
        <w:ind w:firstLine="220" w:firstLineChars="1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（1）验收小组的组成： </w:t>
      </w:r>
    </w:p>
    <w:p w14:paraId="36498E09">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食材供应商负责人、甲方代表等。 </w:t>
      </w:r>
    </w:p>
    <w:p w14:paraId="66EE6D94">
      <w:pPr>
        <w:keepNext w:val="0"/>
        <w:keepLines w:val="0"/>
        <w:widowControl/>
        <w:suppressLineNumbers w:val="0"/>
        <w:ind w:firstLine="220" w:firstLineChars="1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（2）验收管理： </w:t>
      </w:r>
    </w:p>
    <w:p w14:paraId="27A97147">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成交供应商应无条件接受验收小组按照采购文件、采购人验收管理规定开展的验收工作。如所验收批次食材、食品与采购文件规定的质量要求不符，则该批次食材、食品必须进行更换，由此造成的经济损失由成交供应商自行承担。 </w:t>
      </w:r>
    </w:p>
    <w:p w14:paraId="35BB196F">
      <w:pPr>
        <w:keepNext w:val="0"/>
        <w:keepLines w:val="0"/>
        <w:widowControl/>
        <w:suppressLineNumbers w:val="0"/>
        <w:ind w:firstLine="220" w:firstLineChars="1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3）提交货物时应当出具由具有资质的质量检验机构出具的《检验报告》供应商所供货物应有食品生产许可证编号、国家有关行业和主管部门的产品检验合格报告、检疫检验合格证明报告；相关记录及数据应按月编目成册、归档保管确保可复查溯源。 </w:t>
      </w:r>
    </w:p>
    <w:p w14:paraId="3D446DCF">
      <w:pPr>
        <w:keepNext w:val="0"/>
        <w:keepLines w:val="0"/>
        <w:widowControl/>
        <w:suppressLineNumbers w:val="0"/>
        <w:ind w:firstLine="220" w:firstLineChars="1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（4）供应商提供假冒伪劣、过期、变质、有毒食品，一经发现，除按采购人要求无条件退货或换货外，视情节轻重，还将面临终止供应商供货合同等处罚，甚至追究法律责任。 </w:t>
      </w:r>
    </w:p>
    <w:p w14:paraId="4051DC62">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六、处罚、终止机制 </w:t>
      </w:r>
    </w:p>
    <w:p w14:paraId="30AD68CE">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1.供应商有如下情况发生一经查实，终止供应商的供货资格，取消供应商及供应商法定代表人今后5 年投标资格，并追究有关法律责任。 </w:t>
      </w:r>
    </w:p>
    <w:p w14:paraId="3E45589C">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1.1供应商发生食品安全问题； </w:t>
      </w:r>
    </w:p>
    <w:p w14:paraId="706CB9C4">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1.2 供应商发生转包及违反有关廉政规定；</w:t>
      </w:r>
    </w:p>
    <w:p w14:paraId="3F9D046C">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1.3 供应商涉嫌重大违法乱纪或被市场监管部门处罚等事件；</w:t>
      </w:r>
    </w:p>
    <w:p w14:paraId="6CB95C5B">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1.4 检查发现供应商委托其他供应商配送；</w:t>
      </w:r>
    </w:p>
    <w:p w14:paraId="35FB4481">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1.5 供应商向甲方配送经营范围之外的商品；</w:t>
      </w:r>
    </w:p>
    <w:p w14:paraId="36A7ECD8">
      <w:pPr>
        <w:keepNext w:val="0"/>
        <w:keepLines w:val="0"/>
        <w:widowControl/>
        <w:suppressLineNumbers w:val="0"/>
        <w:ind w:firstLine="440" w:firstLineChars="20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1.6 供应商向甲方开具与实际配送不符的票据；</w:t>
      </w:r>
    </w:p>
    <w:p w14:paraId="3E4B1AD3">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1.7 由于供应商原因对甲方造成重大不良影响。</w:t>
      </w:r>
    </w:p>
    <w:p w14:paraId="64926E27">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2.供应商有如下情况发生一经查实，给予警告，</w:t>
      </w:r>
      <w:r>
        <w:rPr>
          <w:rFonts w:hint="eastAsia" w:ascii="宋体" w:hAnsi="宋体" w:eastAsia="宋体" w:cs="宋体"/>
          <w:color w:val="auto"/>
          <w:sz w:val="22"/>
          <w:szCs w:val="22"/>
          <w:lang w:val="en-US" w:eastAsia="zh-CN"/>
        </w:rPr>
        <w:t>警告每次扣罚1个月食材结算费用，</w:t>
      </w:r>
      <w:r>
        <w:rPr>
          <w:rFonts w:hint="eastAsia" w:ascii="宋体" w:hAnsi="宋体" w:eastAsia="宋体" w:cs="宋体"/>
          <w:color w:val="auto"/>
          <w:sz w:val="22"/>
          <w:szCs w:val="22"/>
        </w:rPr>
        <w:t>警告次数达 3 次的，取消供应商供货资格。</w:t>
      </w:r>
      <w:r>
        <w:rPr>
          <w:rFonts w:hint="eastAsia" w:ascii="宋体" w:hAnsi="宋体" w:eastAsia="宋体" w:cs="宋体"/>
          <w:color w:val="auto"/>
          <w:sz w:val="22"/>
          <w:szCs w:val="22"/>
          <w:lang w:val="en-US" w:eastAsia="zh-CN"/>
        </w:rPr>
        <w:t>由第二顺序中标候选人接替，乙方不得干涉。</w:t>
      </w:r>
      <w:r>
        <w:rPr>
          <w:rFonts w:hint="eastAsia" w:ascii="宋体" w:hAnsi="宋体" w:eastAsia="宋体" w:cs="宋体"/>
          <w:color w:val="auto"/>
          <w:kern w:val="0"/>
          <w:sz w:val="22"/>
          <w:szCs w:val="22"/>
          <w:lang w:val="en-US" w:eastAsia="zh-CN" w:bidi="ar"/>
        </w:rPr>
        <w:t xml:space="preserve"> </w:t>
      </w:r>
    </w:p>
    <w:p w14:paraId="5FD89D35">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2.1供应商发生送货不及时等情况影响采购人正常用餐； </w:t>
      </w:r>
    </w:p>
    <w:p w14:paraId="289829CA">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2.2 供应商发生供货质量差等情况； </w:t>
      </w:r>
    </w:p>
    <w:p w14:paraId="3DE7131E">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2.3 供应商发生服务不到位等情况； </w:t>
      </w:r>
    </w:p>
    <w:p w14:paraId="1B230A34">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2.4有主管部门抽查价格，发现供应商日常配送中已成交物价明显高于所在区域农贸市场的价格； </w:t>
      </w:r>
    </w:p>
    <w:p w14:paraId="168046FE">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2.5 供应商不能按采购人要求及时发送分拣、农残检测、车辆出入等高清视频记录； </w:t>
      </w:r>
    </w:p>
    <w:p w14:paraId="7C5C8811">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2.6  招投标中服务承诺未履行到位；</w:t>
      </w:r>
    </w:p>
    <w:p w14:paraId="671FF233">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2.7  配送人员无当地行政主管部门颁发健康证明；</w:t>
      </w:r>
    </w:p>
    <w:p w14:paraId="14C071F5">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2.8  配送人员有犯罪记录。</w:t>
      </w:r>
    </w:p>
    <w:p w14:paraId="46D1F8E3">
      <w:pPr>
        <w:keepNext w:val="0"/>
        <w:keepLines w:val="0"/>
        <w:widowControl/>
        <w:suppressLineNumbers w:val="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3.其他处罚及说明 </w:t>
      </w:r>
    </w:p>
    <w:p w14:paraId="5B5B15AD">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3.1 违反大宗食品配送其它规定的，可视情况进行相应处理； </w:t>
      </w:r>
    </w:p>
    <w:p w14:paraId="455959F8">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3.2在合同期间内，供应商因违反合同或服务约定次给予警告次数达3次，则立即终止供应商合同。 </w:t>
      </w:r>
    </w:p>
    <w:p w14:paraId="1291237D">
      <w:pPr>
        <w:keepNext w:val="0"/>
        <w:keepLines w:val="0"/>
        <w:widowControl/>
        <w:suppressLineNumbers w:val="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4、退出程序 </w:t>
      </w:r>
    </w:p>
    <w:p w14:paraId="70000897">
      <w:pPr>
        <w:keepNext w:val="0"/>
        <w:keepLines w:val="0"/>
        <w:widowControl/>
        <w:suppressLineNumbers w:val="0"/>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1.中标人因自身原因无法履行配送的，需提前一个月向配送工作领导小组提出申请。 </w:t>
      </w:r>
    </w:p>
    <w:p w14:paraId="1E13A132">
      <w:pPr>
        <w:keepNext w:val="0"/>
        <w:keepLines w:val="0"/>
        <w:widowControl/>
        <w:suppressLineNumbers w:val="0"/>
        <w:ind w:firstLine="440" w:firstLineChars="200"/>
        <w:jc w:val="left"/>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2.中标人不遵守有关配送规定被取消配送资格的。</w:t>
      </w:r>
    </w:p>
    <w:p w14:paraId="6C18187A">
      <w:pPr>
        <w:ind w:firstLine="440" w:firstLineChars="200"/>
        <w:rPr>
          <w:rFonts w:hint="eastAsia"/>
        </w:rPr>
      </w:pP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sz w:val="22"/>
          <w:szCs w:val="22"/>
          <w:lang w:val="en-US" w:eastAsia="zh-CN"/>
        </w:rPr>
        <w:t>警告每次扣罚1个月食材结算费用，</w:t>
      </w:r>
      <w:r>
        <w:rPr>
          <w:rFonts w:hint="eastAsia" w:ascii="宋体" w:hAnsi="宋体" w:eastAsia="宋体" w:cs="宋体"/>
          <w:color w:val="auto"/>
          <w:sz w:val="22"/>
          <w:szCs w:val="22"/>
        </w:rPr>
        <w:t>警告次数达 3 次的，取消供应商供货资格。</w:t>
      </w:r>
      <w:r>
        <w:rPr>
          <w:rFonts w:hint="eastAsia" w:ascii="宋体" w:hAnsi="宋体" w:eastAsia="宋体" w:cs="宋体"/>
          <w:color w:val="auto"/>
          <w:sz w:val="22"/>
          <w:szCs w:val="22"/>
          <w:lang w:val="en-US" w:eastAsia="zh-CN"/>
        </w:rPr>
        <w:t>由第二顺序中标候选人接替，乙方不得干涉。</w:t>
      </w:r>
      <w:r>
        <w:rPr>
          <w:rFonts w:hint="eastAsia" w:ascii="宋体" w:hAnsi="宋体" w:eastAsia="宋体" w:cs="宋体"/>
          <w:color w:val="auto"/>
          <w:kern w:val="0"/>
          <w:sz w:val="22"/>
          <w:szCs w:val="22"/>
          <w:lang w:val="en-US" w:eastAsia="zh-CN" w:bidi="ar"/>
        </w:rPr>
        <w:t xml:space="preserve"> </w:t>
      </w:r>
      <w:r>
        <w:rPr>
          <w:rFonts w:hint="eastAsia" w:ascii="宋体" w:hAnsi="宋体" w:cs="宋体"/>
          <w:b/>
          <w:bCs/>
          <w:color w:val="auto"/>
          <w:sz w:val="22"/>
          <w:szCs w:val="22"/>
          <w:lang w:val="en-US" w:eastAsia="zh-CN"/>
        </w:rPr>
        <w:br w:type="page"/>
      </w:r>
    </w:p>
    <w:p w14:paraId="5A65A6EC">
      <w:pPr>
        <w:pStyle w:val="2"/>
        <w:spacing w:before="0" w:after="0" w:line="360" w:lineRule="auto"/>
        <w:jc w:val="center"/>
        <w:rPr>
          <w:color w:val="000000" w:themeColor="text1"/>
          <w:kern w:val="0"/>
          <w:sz w:val="28"/>
          <w:szCs w:val="28"/>
          <w:highlight w:val="none"/>
          <w14:textFill>
            <w14:solidFill>
              <w14:schemeClr w14:val="tx1"/>
            </w14:solidFill>
          </w14:textFill>
        </w:rPr>
      </w:pPr>
      <w:bookmarkStart w:id="29" w:name="_Toc27476"/>
      <w:r>
        <w:rPr>
          <w:rFonts w:hint="eastAsia"/>
          <w:color w:val="000000" w:themeColor="text1"/>
          <w:kern w:val="0"/>
          <w:sz w:val="28"/>
          <w:szCs w:val="28"/>
          <w:highlight w:val="none"/>
          <w14:textFill>
            <w14:solidFill>
              <w14:schemeClr w14:val="tx1"/>
            </w14:solidFill>
          </w14:textFill>
        </w:rPr>
        <w:t>第六部分 合同格式及主要条款</w:t>
      </w:r>
      <w:bookmarkEnd w:id="29"/>
    </w:p>
    <w:p w14:paraId="5FE6ABC8">
      <w:pPr>
        <w:keepNext w:val="0"/>
        <w:keepLines w:val="0"/>
        <w:pageBreakBefore w:val="0"/>
        <w:widowControl/>
        <w:suppressLineNumbers w:val="0"/>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（仅限参考，以最终签订为准）</w:t>
      </w:r>
    </w:p>
    <w:p w14:paraId="2EAD8264">
      <w:pPr>
        <w:pStyle w:val="10"/>
        <w:ind w:firstLine="4417" w:firstLineChars="1100"/>
        <w:rPr>
          <w:rFonts w:hint="eastAsia" w:ascii="宋体" w:hAnsi="宋体" w:eastAsia="宋体" w:cs="宋体"/>
          <w:b/>
          <w:color w:val="000000"/>
          <w:kern w:val="2"/>
          <w:sz w:val="40"/>
          <w:szCs w:val="40"/>
          <w:lang w:val="en-US" w:eastAsia="zh-CN" w:bidi="ar-SA"/>
        </w:rPr>
      </w:pPr>
      <w:bookmarkStart w:id="30" w:name="_Toc27415"/>
      <w:r>
        <w:rPr>
          <w:rFonts w:hint="eastAsia" w:ascii="宋体" w:hAnsi="宋体" w:eastAsia="宋体" w:cs="宋体"/>
          <w:b/>
          <w:color w:val="000000"/>
          <w:kern w:val="2"/>
          <w:sz w:val="40"/>
          <w:szCs w:val="40"/>
          <w:lang w:val="en-US" w:eastAsia="zh-CN" w:bidi="ar-SA"/>
        </w:rPr>
        <w:t>合</w:t>
      </w:r>
    </w:p>
    <w:p w14:paraId="2B5529A9">
      <w:pPr>
        <w:pStyle w:val="10"/>
        <w:ind w:firstLine="4417" w:firstLineChars="1100"/>
        <w:rPr>
          <w:rFonts w:hint="eastAsia" w:ascii="宋体" w:hAnsi="宋体" w:eastAsia="宋体" w:cs="宋体"/>
          <w:b/>
          <w:color w:val="000000"/>
          <w:kern w:val="2"/>
          <w:sz w:val="40"/>
          <w:szCs w:val="40"/>
          <w:lang w:val="en-US" w:eastAsia="zh-CN" w:bidi="ar-SA"/>
        </w:rPr>
      </w:pPr>
    </w:p>
    <w:p w14:paraId="00102764">
      <w:pPr>
        <w:pStyle w:val="10"/>
        <w:ind w:firstLine="4417" w:firstLineChars="1100"/>
        <w:rPr>
          <w:rFonts w:hint="eastAsia" w:ascii="宋体" w:hAnsi="宋体" w:eastAsia="宋体" w:cs="宋体"/>
          <w:b/>
          <w:color w:val="000000"/>
          <w:kern w:val="2"/>
          <w:sz w:val="40"/>
          <w:szCs w:val="40"/>
          <w:lang w:val="en-US" w:eastAsia="zh-CN" w:bidi="ar-SA"/>
        </w:rPr>
      </w:pPr>
    </w:p>
    <w:p w14:paraId="5EDCE065">
      <w:pPr>
        <w:pStyle w:val="10"/>
        <w:ind w:firstLine="4417" w:firstLineChars="1100"/>
        <w:rPr>
          <w:rFonts w:hint="eastAsia" w:ascii="宋体" w:hAnsi="宋体" w:eastAsia="宋体" w:cs="宋体"/>
          <w:b/>
          <w:color w:val="000000"/>
          <w:kern w:val="2"/>
          <w:sz w:val="40"/>
          <w:szCs w:val="40"/>
          <w:lang w:val="en-US" w:eastAsia="zh-CN" w:bidi="ar-SA"/>
        </w:rPr>
      </w:pPr>
    </w:p>
    <w:p w14:paraId="1A8EBC98">
      <w:pPr>
        <w:pStyle w:val="10"/>
        <w:ind w:firstLine="4417" w:firstLineChars="1100"/>
        <w:rPr>
          <w:rFonts w:hint="default" w:ascii="宋体" w:hAnsi="宋体" w:eastAsia="宋体" w:cs="宋体"/>
          <w:b/>
          <w:color w:val="000000"/>
          <w:kern w:val="2"/>
          <w:sz w:val="40"/>
          <w:szCs w:val="40"/>
          <w:lang w:val="en-US" w:eastAsia="zh-CN" w:bidi="ar-SA"/>
        </w:rPr>
      </w:pPr>
      <w:r>
        <w:rPr>
          <w:rFonts w:hint="eastAsia" w:ascii="宋体" w:hAnsi="宋体" w:eastAsia="宋体" w:cs="宋体"/>
          <w:b/>
          <w:color w:val="000000"/>
          <w:kern w:val="2"/>
          <w:sz w:val="40"/>
          <w:szCs w:val="40"/>
          <w:lang w:val="en-US" w:eastAsia="zh-CN" w:bidi="ar-SA"/>
        </w:rPr>
        <w:t>同</w:t>
      </w:r>
    </w:p>
    <w:p w14:paraId="64CD4B76">
      <w:pPr>
        <w:rPr>
          <w:rFonts w:hint="eastAsia" w:ascii="宋体" w:hAnsi="宋体" w:eastAsia="宋体" w:cs="宋体"/>
          <w:b/>
          <w:color w:val="000000"/>
          <w:kern w:val="2"/>
          <w:sz w:val="40"/>
          <w:szCs w:val="40"/>
          <w:lang w:val="en-US" w:eastAsia="zh-CN" w:bidi="ar-SA"/>
        </w:rPr>
      </w:pPr>
    </w:p>
    <w:p w14:paraId="5F108916">
      <w:pPr>
        <w:pStyle w:val="49"/>
        <w:rPr>
          <w:rFonts w:hint="eastAsia" w:ascii="宋体" w:hAnsi="宋体" w:eastAsia="宋体" w:cs="宋体"/>
          <w:b/>
          <w:color w:val="000000"/>
          <w:kern w:val="2"/>
          <w:sz w:val="40"/>
          <w:szCs w:val="40"/>
          <w:lang w:val="en-US" w:eastAsia="zh-CN" w:bidi="ar-SA"/>
        </w:rPr>
      </w:pPr>
    </w:p>
    <w:p w14:paraId="3430C57D">
      <w:pPr>
        <w:pStyle w:val="49"/>
        <w:rPr>
          <w:rFonts w:hint="eastAsia" w:ascii="宋体" w:hAnsi="宋体" w:eastAsia="宋体" w:cs="宋体"/>
          <w:b/>
          <w:color w:val="000000"/>
          <w:kern w:val="2"/>
          <w:sz w:val="40"/>
          <w:szCs w:val="40"/>
          <w:lang w:val="en-US" w:eastAsia="zh-CN" w:bidi="ar-SA"/>
        </w:rPr>
      </w:pPr>
    </w:p>
    <w:p w14:paraId="1503A69F">
      <w:pPr>
        <w:pStyle w:val="49"/>
        <w:rPr>
          <w:rFonts w:hint="eastAsia" w:ascii="宋体" w:hAnsi="宋体" w:eastAsia="宋体" w:cs="宋体"/>
          <w:b/>
          <w:color w:val="000000"/>
          <w:kern w:val="2"/>
          <w:sz w:val="40"/>
          <w:szCs w:val="40"/>
          <w:lang w:val="en-US" w:eastAsia="zh-CN" w:bidi="ar-SA"/>
        </w:rPr>
      </w:pPr>
    </w:p>
    <w:p w14:paraId="29EB5C93">
      <w:pPr>
        <w:pStyle w:val="10"/>
        <w:rPr>
          <w:rFonts w:hint="eastAsia" w:ascii="宋体" w:hAnsi="宋体" w:eastAsia="宋体" w:cs="宋体"/>
          <w:b/>
          <w:color w:val="000000"/>
          <w:kern w:val="2"/>
          <w:sz w:val="40"/>
          <w:szCs w:val="40"/>
          <w:lang w:val="en-US" w:eastAsia="zh-CN" w:bidi="ar-SA"/>
        </w:rPr>
      </w:pPr>
    </w:p>
    <w:p w14:paraId="28B11C43">
      <w:pPr>
        <w:keepNext w:val="0"/>
        <w:keepLines w:val="0"/>
        <w:widowControl/>
        <w:suppressLineNumbers w:val="0"/>
        <w:ind w:firstLine="1860" w:firstLineChars="600"/>
        <w:jc w:val="left"/>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签订时间：</w:t>
      </w:r>
      <w:r>
        <w:rPr>
          <w:rFonts w:hint="eastAsia" w:ascii="宋体" w:hAnsi="宋体" w:eastAsia="宋体" w:cs="宋体"/>
          <w:color w:val="000000"/>
          <w:kern w:val="0"/>
          <w:sz w:val="31"/>
          <w:szCs w:val="31"/>
          <w:u w:val="single"/>
          <w:lang w:val="en-US" w:eastAsia="zh-CN" w:bidi="ar"/>
        </w:rPr>
        <w:t xml:space="preserve">     </w:t>
      </w:r>
      <w:r>
        <w:rPr>
          <w:rFonts w:hint="eastAsia" w:ascii="宋体" w:hAnsi="宋体" w:eastAsia="宋体" w:cs="宋体"/>
          <w:color w:val="000000"/>
          <w:kern w:val="0"/>
          <w:sz w:val="31"/>
          <w:szCs w:val="31"/>
          <w:lang w:val="en-US" w:eastAsia="zh-CN" w:bidi="ar"/>
        </w:rPr>
        <w:t>年</w:t>
      </w:r>
      <w:r>
        <w:rPr>
          <w:rFonts w:hint="eastAsia" w:ascii="宋体" w:hAnsi="宋体" w:eastAsia="宋体" w:cs="宋体"/>
          <w:color w:val="000000"/>
          <w:kern w:val="0"/>
          <w:sz w:val="31"/>
          <w:szCs w:val="31"/>
          <w:u w:val="single"/>
          <w:lang w:val="en-US" w:eastAsia="zh-CN" w:bidi="ar"/>
        </w:rPr>
        <w:t xml:space="preserve">    </w:t>
      </w:r>
      <w:r>
        <w:rPr>
          <w:rFonts w:hint="eastAsia" w:ascii="宋体" w:hAnsi="宋体" w:eastAsia="宋体" w:cs="宋体"/>
          <w:color w:val="000000"/>
          <w:kern w:val="0"/>
          <w:sz w:val="31"/>
          <w:szCs w:val="31"/>
          <w:lang w:val="en-US" w:eastAsia="zh-CN" w:bidi="ar"/>
        </w:rPr>
        <w:t>月</w:t>
      </w:r>
      <w:r>
        <w:rPr>
          <w:rFonts w:hint="eastAsia" w:ascii="宋体" w:hAnsi="宋体" w:eastAsia="宋体" w:cs="宋体"/>
          <w:color w:val="000000"/>
          <w:kern w:val="0"/>
          <w:sz w:val="31"/>
          <w:szCs w:val="31"/>
          <w:u w:val="single"/>
          <w:lang w:val="en-US" w:eastAsia="zh-CN" w:bidi="ar"/>
        </w:rPr>
        <w:t xml:space="preserve">    </w:t>
      </w:r>
      <w:r>
        <w:rPr>
          <w:rFonts w:hint="eastAsia" w:ascii="宋体" w:hAnsi="宋体" w:eastAsia="宋体" w:cs="宋体"/>
          <w:color w:val="000000"/>
          <w:kern w:val="0"/>
          <w:sz w:val="31"/>
          <w:szCs w:val="31"/>
          <w:lang w:val="en-US" w:eastAsia="zh-CN" w:bidi="ar"/>
        </w:rPr>
        <w:t>日</w:t>
      </w:r>
    </w:p>
    <w:p w14:paraId="648AA3F6">
      <w:pPr>
        <w:pStyle w:val="3"/>
        <w:numPr>
          <w:ilvl w:val="1"/>
          <w:numId w:val="0"/>
        </w:numPr>
        <w:tabs>
          <w:tab w:val="left" w:pos="0"/>
        </w:tabs>
        <w:ind w:leftChars="0" w:firstLine="1860" w:firstLineChars="600"/>
        <w:rPr>
          <w:rFonts w:hint="default"/>
          <w:u w:val="single"/>
          <w:lang w:val="en-US"/>
        </w:rPr>
      </w:pPr>
      <w:r>
        <w:rPr>
          <w:rFonts w:hint="eastAsia" w:ascii="宋体" w:hAnsi="宋体" w:eastAsia="宋体" w:cs="宋体"/>
          <w:b w:val="0"/>
          <w:bCs w:val="0"/>
          <w:color w:val="000000"/>
          <w:kern w:val="0"/>
          <w:sz w:val="31"/>
          <w:szCs w:val="31"/>
          <w:lang w:val="en-US" w:eastAsia="zh-CN" w:bidi="ar"/>
        </w:rPr>
        <w:t>签订地点：</w:t>
      </w:r>
      <w:r>
        <w:rPr>
          <w:rFonts w:hint="eastAsia" w:ascii="宋体" w:hAnsi="宋体" w:eastAsia="宋体" w:cs="宋体"/>
          <w:color w:val="000000"/>
          <w:kern w:val="0"/>
          <w:sz w:val="31"/>
          <w:szCs w:val="31"/>
          <w:u w:val="single"/>
          <w:lang w:val="en-US" w:eastAsia="zh-CN" w:bidi="ar"/>
        </w:rPr>
        <w:t xml:space="preserve">                    </w:t>
      </w:r>
    </w:p>
    <w:p w14:paraId="14B95B6B">
      <w:pPr>
        <w:rPr>
          <w:rFonts w:hint="eastAsia" w:ascii="宋体" w:hAnsi="宋体" w:eastAsia="宋体" w:cs="宋体"/>
          <w:b/>
          <w:color w:val="000000"/>
          <w:kern w:val="2"/>
          <w:sz w:val="40"/>
          <w:szCs w:val="40"/>
          <w:lang w:val="en-US" w:eastAsia="zh-CN" w:bidi="ar-SA"/>
        </w:rPr>
      </w:pPr>
    </w:p>
    <w:p w14:paraId="3EA111FC">
      <w:pPr>
        <w:pStyle w:val="10"/>
        <w:rPr>
          <w:rFonts w:hint="eastAsia"/>
          <w:lang w:val="en-US" w:eastAsia="zh-CN"/>
        </w:rPr>
      </w:pPr>
    </w:p>
    <w:p w14:paraId="0C4FA24B">
      <w:pPr>
        <w:rPr>
          <w:rFonts w:hint="eastAsia"/>
          <w:lang w:val="en-US" w:eastAsia="zh-CN"/>
        </w:rPr>
      </w:pPr>
    </w:p>
    <w:p w14:paraId="68C7B3CA">
      <w:pPr>
        <w:rPr>
          <w:rFonts w:hint="eastAsia"/>
          <w:lang w:val="en-US" w:eastAsia="zh-CN"/>
        </w:rPr>
      </w:pPr>
    </w:p>
    <w:p w14:paraId="3574D8A7">
      <w:pPr>
        <w:rPr>
          <w:rFonts w:hint="eastAsia"/>
          <w:lang w:val="en-US" w:eastAsia="zh-CN"/>
        </w:rPr>
      </w:pPr>
    </w:p>
    <w:p w14:paraId="1C13A316">
      <w:pPr>
        <w:pStyle w:val="10"/>
        <w:rPr>
          <w:rFonts w:hint="eastAsia"/>
          <w:lang w:val="en-US" w:eastAsia="zh-CN"/>
        </w:rPr>
      </w:pPr>
    </w:p>
    <w:p w14:paraId="6BE290C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甲方：（以下简称甲方）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w:t>
      </w:r>
    </w:p>
    <w:p w14:paraId="06BC5FFF">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乙方：（以下简称乙方）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14:paraId="3EF5856B">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根据《中华人民共和国民法典》及其他有关法律法规的规定，甲方通过公开招标，确定乙方为供货单位，经友好协商，在平等、自愿、公平、诚信、守法的原则下签订本合同，以资共同遵守。</w:t>
      </w:r>
    </w:p>
    <w:p w14:paraId="0DD9171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合作期限 本合同有效期为</w:t>
      </w:r>
      <w:r>
        <w:rPr>
          <w:rFonts w:hint="eastAsia" w:ascii="宋体" w:hAnsi="宋体" w:eastAsia="宋体" w:cs="宋体"/>
          <w:sz w:val="22"/>
          <w:szCs w:val="22"/>
          <w:lang w:val="en-US" w:eastAsia="zh-CN"/>
        </w:rPr>
        <w:t>365日历天</w:t>
      </w:r>
      <w:r>
        <w:rPr>
          <w:rFonts w:hint="eastAsia" w:ascii="宋体" w:hAnsi="宋体" w:eastAsia="宋体" w:cs="宋体"/>
          <w:sz w:val="22"/>
          <w:szCs w:val="22"/>
        </w:rPr>
        <w:t xml:space="preserve">，自 年 月 日至 年 月 日止。 </w:t>
      </w:r>
    </w:p>
    <w:p w14:paraId="559D7B1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w:t>
      </w:r>
      <w:r>
        <w:rPr>
          <w:rFonts w:hint="eastAsia" w:ascii="宋体" w:hAnsi="宋体" w:eastAsia="宋体" w:cs="宋体"/>
          <w:sz w:val="22"/>
          <w:szCs w:val="22"/>
        </w:rPr>
        <w:t>、供货范围 乙方负责在合同有效期内向甲方</w:t>
      </w:r>
      <w:r>
        <w:rPr>
          <w:rFonts w:hint="eastAsia" w:ascii="宋体" w:hAnsi="宋体" w:eastAsia="宋体" w:cs="宋体"/>
          <w:sz w:val="22"/>
          <w:szCs w:val="22"/>
          <w:lang w:val="en-US" w:eastAsia="zh-CN"/>
        </w:rPr>
        <w:t>敬老院</w:t>
      </w:r>
      <w:r>
        <w:rPr>
          <w:rFonts w:hint="eastAsia" w:ascii="宋体" w:hAnsi="宋体" w:eastAsia="宋体" w:cs="宋体"/>
          <w:sz w:val="22"/>
          <w:szCs w:val="22"/>
        </w:rPr>
        <w:t>供应配送食材服务。（具体配送范围包括但不限于：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等食材，甲方可根据实际需要选择货品。如甲方另有需求，乙方均可供货。）</w:t>
      </w:r>
      <w:r>
        <w:rPr>
          <w:rFonts w:hint="eastAsia" w:ascii="宋体" w:hAnsi="宋体" w:eastAsia="宋体" w:cs="宋体"/>
          <w:sz w:val="22"/>
          <w:szCs w:val="22"/>
          <w:lang w:val="en-US" w:eastAsia="zh-CN"/>
        </w:rPr>
        <w:t xml:space="preserve">                     </w:t>
      </w:r>
    </w:p>
    <w:p w14:paraId="42B606D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 xml:space="preserve">供货质量与食品安全 </w:t>
      </w:r>
    </w:p>
    <w:p w14:paraId="3766828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（一）各类食品具体要求</w:t>
      </w:r>
    </w:p>
    <w:p w14:paraId="15BE9486">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b/>
          <w:bCs/>
          <w:color w:val="000000"/>
          <w:kern w:val="0"/>
          <w:sz w:val="22"/>
          <w:szCs w:val="22"/>
          <w:lang w:val="en-US" w:eastAsia="zh-CN" w:bidi="ar"/>
        </w:rPr>
      </w:pPr>
      <w:r>
        <w:rPr>
          <w:rFonts w:hint="eastAsia" w:ascii="宋体" w:hAnsi="宋体" w:eastAsia="宋体" w:cs="宋体"/>
          <w:sz w:val="22"/>
          <w:szCs w:val="22"/>
        </w:rPr>
        <w:t xml:space="preserve"> 1.</w:t>
      </w:r>
      <w:r>
        <w:rPr>
          <w:rFonts w:hint="eastAsia" w:ascii="宋体" w:hAnsi="宋体" w:eastAsia="宋体" w:cs="宋体"/>
          <w:b/>
          <w:bCs/>
          <w:color w:val="000000"/>
          <w:kern w:val="0"/>
          <w:sz w:val="22"/>
          <w:szCs w:val="22"/>
          <w:lang w:val="en-US" w:eastAsia="zh-CN" w:bidi="ar"/>
        </w:rPr>
        <w:t>粮食及加工品类</w:t>
      </w:r>
    </w:p>
    <w:p w14:paraId="15FA96F3">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660" w:firstLineChars="300"/>
        <w:jc w:val="left"/>
        <w:textAlignment w:val="auto"/>
        <w:rPr>
          <w:rFonts w:hint="eastAsia" w:ascii="宋体" w:hAnsi="宋体" w:eastAsia="宋体" w:cs="宋体"/>
          <w:color w:val="auto"/>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小麦粉必须符合标准 GB/T1355-2021，产品包装上有食品生产许可证编码。应使用符合卫生要求的运输工具和容器运送面粉，运输过程要防止雨淋和被污染。</w:t>
      </w:r>
      <w:r>
        <w:rPr>
          <w:rFonts w:hint="eastAsia" w:ascii="宋体" w:hAnsi="宋体" w:eastAsia="宋体" w:cs="宋体"/>
          <w:color w:val="auto"/>
          <w:sz w:val="22"/>
          <w:szCs w:val="22"/>
          <w:lang w:val="en-US" w:eastAsia="zh-CN"/>
        </w:rPr>
        <w:t>交货时</w:t>
      </w:r>
      <w:r>
        <w:rPr>
          <w:rFonts w:hint="eastAsia" w:ascii="宋体" w:hAnsi="宋体" w:eastAsia="宋体" w:cs="宋体"/>
          <w:color w:val="auto"/>
          <w:sz w:val="22"/>
          <w:szCs w:val="22"/>
        </w:rPr>
        <w:t>保质期应不低于应有保质期的</w:t>
      </w:r>
      <w:r>
        <w:rPr>
          <w:rFonts w:hint="eastAsia" w:ascii="宋体" w:hAnsi="宋体" w:eastAsia="宋体" w:cs="宋体"/>
          <w:color w:val="auto"/>
          <w:sz w:val="22"/>
          <w:szCs w:val="22"/>
          <w:lang w:val="en-US" w:eastAsia="zh-CN"/>
        </w:rPr>
        <w:t>三分之二时间</w:t>
      </w:r>
      <w:r>
        <w:rPr>
          <w:rFonts w:hint="eastAsia" w:ascii="宋体" w:hAnsi="宋体" w:eastAsia="宋体" w:cs="宋体"/>
          <w:color w:val="auto"/>
          <w:sz w:val="22"/>
          <w:szCs w:val="22"/>
        </w:rPr>
        <w:t>。</w:t>
      </w:r>
    </w:p>
    <w:p w14:paraId="7AF7013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660" w:firstLineChars="3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1.2</w:t>
      </w:r>
      <w:r>
        <w:rPr>
          <w:rFonts w:hint="eastAsia" w:ascii="宋体" w:hAnsi="宋体" w:eastAsia="宋体" w:cs="宋体"/>
          <w:color w:val="auto"/>
          <w:sz w:val="22"/>
          <w:szCs w:val="22"/>
        </w:rPr>
        <w:t>.大米必须符合标准 GB/T1354-2018，食品安全国家标准粮食 GB2715—2016，粮食销售包装符合GB/T17109-2008，产品包装上有食品生产许可证编码。应使用符合卫生要求的运输工具和容器运送大米，运输过程要防止雨淋和被污染。</w:t>
      </w:r>
      <w:r>
        <w:rPr>
          <w:rFonts w:hint="eastAsia" w:ascii="宋体" w:hAnsi="宋体" w:eastAsia="宋体" w:cs="宋体"/>
          <w:color w:val="auto"/>
          <w:sz w:val="22"/>
          <w:szCs w:val="22"/>
          <w:lang w:val="en-US" w:eastAsia="zh-CN"/>
        </w:rPr>
        <w:t>交货时</w:t>
      </w:r>
      <w:r>
        <w:rPr>
          <w:rFonts w:hint="eastAsia" w:ascii="宋体" w:hAnsi="宋体" w:eastAsia="宋体" w:cs="宋体"/>
          <w:color w:val="auto"/>
          <w:sz w:val="22"/>
          <w:szCs w:val="22"/>
        </w:rPr>
        <w:t>保质期应不低于应有保质期的</w:t>
      </w:r>
      <w:r>
        <w:rPr>
          <w:rFonts w:hint="eastAsia" w:ascii="宋体" w:hAnsi="宋体" w:eastAsia="宋体" w:cs="宋体"/>
          <w:color w:val="auto"/>
          <w:sz w:val="22"/>
          <w:szCs w:val="22"/>
          <w:lang w:val="en-US" w:eastAsia="zh-CN"/>
        </w:rPr>
        <w:t>三分之二时间</w:t>
      </w:r>
      <w:r>
        <w:rPr>
          <w:rFonts w:hint="eastAsia" w:ascii="宋体" w:hAnsi="宋体" w:eastAsia="宋体" w:cs="宋体"/>
          <w:color w:val="auto"/>
          <w:sz w:val="22"/>
          <w:szCs w:val="22"/>
        </w:rPr>
        <w:t>。</w:t>
      </w:r>
    </w:p>
    <w:p w14:paraId="37F02F9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660" w:firstLineChars="30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1.3.杂粮类小米、绿豆、红豆、黑米、玉米面等符合GB/T11766-2024、GB/T 10462-2008标准等，包装上有食品生产许可证编号；含水量等于低于规定标准。</w:t>
      </w:r>
      <w:r>
        <w:rPr>
          <w:rFonts w:hint="eastAsia" w:ascii="宋体" w:hAnsi="宋体" w:eastAsia="宋体" w:cs="宋体"/>
          <w:color w:val="auto"/>
          <w:kern w:val="0"/>
          <w:sz w:val="22"/>
          <w:szCs w:val="22"/>
          <w:lang w:val="en-US" w:eastAsia="zh-CN" w:bidi="ar"/>
        </w:rPr>
        <w:t xml:space="preserve">包装、运输和储存，符合保质、保量、运输安全的要求，严防污染。交货时保质期应不低于应有保质期的三分之二时间。 </w:t>
      </w:r>
    </w:p>
    <w:p w14:paraId="6B71156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660" w:firstLineChars="30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1.4</w:t>
      </w:r>
      <w:r>
        <w:rPr>
          <w:rFonts w:hint="eastAsia" w:ascii="宋体" w:hAnsi="宋体" w:eastAsia="宋体" w:cs="宋体"/>
          <w:color w:val="auto"/>
          <w:sz w:val="22"/>
          <w:szCs w:val="22"/>
        </w:rPr>
        <w:t>.食用油必须符合国家现行标准，产品包装上有食品生产许可证编码。所有食用油必须为非转基因标识食用油。大豆油必须符合 GB1535-2017 标准。</w:t>
      </w:r>
      <w:r>
        <w:rPr>
          <w:rFonts w:hint="eastAsia" w:ascii="宋体" w:hAnsi="宋体" w:eastAsia="宋体" w:cs="宋体"/>
          <w:color w:val="auto"/>
          <w:sz w:val="22"/>
          <w:szCs w:val="22"/>
          <w:lang w:val="en-US" w:eastAsia="zh-CN"/>
        </w:rPr>
        <w:t>交货时</w:t>
      </w:r>
      <w:r>
        <w:rPr>
          <w:rFonts w:hint="eastAsia" w:ascii="宋体" w:hAnsi="宋体" w:eastAsia="宋体" w:cs="宋体"/>
          <w:color w:val="auto"/>
          <w:sz w:val="22"/>
          <w:szCs w:val="22"/>
        </w:rPr>
        <w:t>保质期应不低于应有保质期的</w:t>
      </w:r>
      <w:r>
        <w:rPr>
          <w:rFonts w:hint="eastAsia" w:ascii="宋体" w:hAnsi="宋体" w:eastAsia="宋体" w:cs="宋体"/>
          <w:color w:val="auto"/>
          <w:sz w:val="22"/>
          <w:szCs w:val="22"/>
          <w:lang w:val="en-US" w:eastAsia="zh-CN"/>
        </w:rPr>
        <w:t>三分之二时间</w:t>
      </w:r>
      <w:r>
        <w:rPr>
          <w:rFonts w:hint="eastAsia" w:ascii="宋体" w:hAnsi="宋体" w:eastAsia="宋体" w:cs="宋体"/>
          <w:color w:val="auto"/>
          <w:sz w:val="22"/>
          <w:szCs w:val="22"/>
        </w:rPr>
        <w:t>。</w:t>
      </w:r>
    </w:p>
    <w:p w14:paraId="0489319B">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2.肉类</w:t>
      </w:r>
    </w:p>
    <w:p w14:paraId="534E553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sz w:val="22"/>
          <w:szCs w:val="22"/>
          <w:lang w:val="en-US" w:eastAsia="zh-CN"/>
        </w:rPr>
        <w:t>2.1</w:t>
      </w:r>
      <w:r>
        <w:rPr>
          <w:rFonts w:hint="eastAsia" w:ascii="宋体" w:hAnsi="宋体" w:eastAsia="宋体" w:cs="宋体"/>
          <w:color w:val="auto"/>
          <w:kern w:val="0"/>
          <w:sz w:val="22"/>
          <w:szCs w:val="22"/>
          <w:lang w:val="en-US" w:eastAsia="zh-CN" w:bidi="ar"/>
        </w:rPr>
        <w:t>牛、羊肉、猪肉、鸡肉 技术要求、卫生指标、检验方法、生产加工过程、标识、包装、贮存和运输的卫生要求等按 GB/T2707-2016 、 GB/T2707-2016、GB/T16869-2005 和国家有关标准、规定执行；供货时提供动物检疫合格证明和肉品质合格证明，随货同行，不能是冰冻肉。</w:t>
      </w:r>
    </w:p>
    <w:p w14:paraId="4B2EE11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auto"/>
          <w:kern w:val="0"/>
          <w:sz w:val="22"/>
          <w:szCs w:val="22"/>
          <w:lang w:val="en-US" w:eastAsia="zh-CN" w:bidi="ar"/>
        </w:rPr>
        <w:t>2.2.</w:t>
      </w:r>
      <w:r>
        <w:rPr>
          <w:rFonts w:hint="eastAsia" w:ascii="宋体" w:hAnsi="宋体" w:eastAsia="宋体" w:cs="宋体"/>
          <w:color w:val="auto"/>
          <w:sz w:val="22"/>
          <w:szCs w:val="22"/>
          <w:lang w:val="en-US" w:eastAsia="zh-CN"/>
        </w:rPr>
        <w:t>肉制品类</w:t>
      </w:r>
      <w:r>
        <w:rPr>
          <w:rFonts w:hint="eastAsia" w:ascii="宋体" w:hAnsi="宋体" w:eastAsia="宋体" w:cs="宋体"/>
          <w:color w:val="auto"/>
          <w:kern w:val="0"/>
          <w:sz w:val="22"/>
          <w:szCs w:val="22"/>
          <w:lang w:val="en-US" w:eastAsia="zh-CN" w:bidi="ar"/>
        </w:rPr>
        <w:t>酱卤肉制品：以畜禽为主要原料加工而成的酱卤肉制品及以畜禽动物的可食副产品等。技术要求、卫生指标、检验方法、生产加工过程、标识、包装、贮存和运</w:t>
      </w:r>
      <w:r>
        <w:rPr>
          <w:rFonts w:hint="eastAsia" w:ascii="宋体" w:hAnsi="宋体" w:eastAsia="宋体" w:cs="宋体"/>
          <w:color w:val="000000"/>
          <w:kern w:val="0"/>
          <w:sz w:val="22"/>
          <w:szCs w:val="22"/>
          <w:lang w:val="en-US" w:eastAsia="zh-CN" w:bidi="ar"/>
        </w:rPr>
        <w:t>输的卫生要求等按 GB/T23586-2022 和国家有关标准、规定执行。</w:t>
      </w:r>
    </w:p>
    <w:p w14:paraId="377B7582">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3.禽蛋类鲜鸡蛋、鹌鹑蛋符合GB 2749-2015 食品安全国家标准《蛋与蛋制品》；符合NY5270-2004《无公害食品 鹌鹑蛋》标准；GB 2762-2022 食品安全国家标准《食品中污染物限量》满足相关微生物限量。</w:t>
      </w:r>
    </w:p>
    <w:p w14:paraId="52D5716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 豆制品必须符合国家现行标准。应当使用保温措施确保豆制品的保鲜。</w:t>
      </w:r>
    </w:p>
    <w:p w14:paraId="077613A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 蔬菜类农药残留数量低于国家规定，无重金属超标等，符合国家食品安全标准。</w:t>
      </w:r>
    </w:p>
    <w:p w14:paraId="6514C3F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6.水果类应季供应果类。水果必须保证新鲜并满足食品安全国家标准；符合国家食品安全标准（GB 2762-2022《食品安全国家标准食品中污染物限量》，无腐败变质、无霉变。</w:t>
      </w:r>
    </w:p>
    <w:p w14:paraId="3635BC7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7.调料类食用盐、精、老抽、生抽、醋、蚝油、香油、孜然粉、白糖、冰糖、红糖、豆瓣酱、番茄酱、 甜面酱等，符合GB/T18186-2000和国家有关标准。交货时保质期应不低于应有保质期的三分之二时间。</w:t>
      </w:r>
    </w:p>
    <w:p w14:paraId="208D889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8.干杂类粉条、粉皮、粉丝、银耳、木耳、腐竹等，须保证食材干净、不含非食品用化学物质、按统一标准加工、码放整齐、无须二次处理可以直接进行熟加工。符合国家有关标准。交货时保质期应不低于应有保质期的三分之二时间。</w:t>
      </w:r>
    </w:p>
    <w:p w14:paraId="3FB9264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9.油炸、烤焙</w:t>
      </w:r>
      <w:r>
        <w:rPr>
          <w:rFonts w:hint="eastAsia" w:ascii="宋体" w:hAnsi="宋体" w:eastAsia="宋体" w:cs="宋体"/>
          <w:color w:val="auto"/>
          <w:kern w:val="0"/>
          <w:sz w:val="22"/>
          <w:szCs w:val="22"/>
          <w:lang w:val="en-US" w:eastAsia="zh-CN" w:bidi="ar"/>
        </w:rPr>
        <w:t>类</w:t>
      </w:r>
      <w:r>
        <w:rPr>
          <w:rFonts w:hint="eastAsia" w:ascii="宋体" w:hAnsi="宋体" w:eastAsia="宋体" w:cs="宋体"/>
          <w:color w:val="auto"/>
          <w:kern w:val="2"/>
          <w:sz w:val="22"/>
          <w:szCs w:val="22"/>
          <w:lang w:val="en-US" w:eastAsia="zh-CN" w:bidi="ar-SA"/>
        </w:rPr>
        <w:t>油条、烧饼等</w:t>
      </w:r>
      <w:r>
        <w:rPr>
          <w:rFonts w:hint="eastAsia" w:ascii="宋体" w:hAnsi="宋体" w:eastAsia="宋体" w:cs="宋体"/>
          <w:color w:val="auto"/>
          <w:kern w:val="0"/>
          <w:sz w:val="22"/>
          <w:szCs w:val="22"/>
          <w:lang w:val="en-US" w:eastAsia="zh-CN" w:bidi="ar"/>
        </w:rPr>
        <w:t>技术要求</w:t>
      </w:r>
      <w:r>
        <w:rPr>
          <w:rFonts w:hint="eastAsia" w:ascii="宋体" w:hAnsi="宋体" w:eastAsia="宋体" w:cs="宋体"/>
          <w:color w:val="000000"/>
          <w:kern w:val="0"/>
          <w:sz w:val="22"/>
          <w:szCs w:val="22"/>
          <w:lang w:val="en-US" w:eastAsia="zh-CN" w:bidi="ar"/>
        </w:rPr>
        <w:t>、卫生指标、检验方法、生产加工过程、标识、包装、贮存和运输的卫生要求等按 GB16565-2003 和国家有关标准、规定执行。</w:t>
      </w:r>
    </w:p>
    <w:p w14:paraId="76A569D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10.其他副食品类灭菌乳、酸奶的原料主要是优质的牛奶和乳酸菌，牛奶需要选择新鲜、无污染 的优质奶源，乳酸菌则需要选择活性强、益生菌效果好的菌种。灭菌乳、酸奶、点心包装应完好无破漏，可视的内容物无腐烂霉变或影响使用的变形，不存在危及人身、财产安全的不合理危险。包装标签应符合《食品安全国家标准预包装食品标签通则》（GB7718-2011）要求，交货时保质期应不低于应有保质期的三分之二时间。</w:t>
      </w:r>
    </w:p>
    <w:p w14:paraId="127EBE7C">
      <w:pPr>
        <w:keepNext w:val="0"/>
        <w:keepLines w:val="0"/>
        <w:pageBreakBefore w:val="0"/>
        <w:widowControl/>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（二）服务要求 </w:t>
      </w:r>
    </w:p>
    <w:p w14:paraId="4CD5A8E2">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1.乙方应制订具体的质量保证措施及相关服务的承诺。 </w:t>
      </w:r>
    </w:p>
    <w:p w14:paraId="7C41DF6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2.乙方应具备较强的供货能力、良好的企业信誉及售后服务能力。 </w:t>
      </w:r>
    </w:p>
    <w:p w14:paraId="2D16A820">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3.乙方能提供配送物品的检测报告或食品检验合格证。 </w:t>
      </w:r>
    </w:p>
    <w:p w14:paraId="1ECAA28E">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4.乙方能自觉遵守</w:t>
      </w:r>
      <w:r>
        <w:rPr>
          <w:rFonts w:hint="eastAsia" w:ascii="宋体" w:hAnsi="宋体" w:eastAsia="宋体" w:cs="宋体"/>
          <w:sz w:val="22"/>
          <w:szCs w:val="22"/>
          <w:lang w:val="en-US" w:eastAsia="zh-CN"/>
        </w:rPr>
        <w:t>甲方</w:t>
      </w:r>
      <w:r>
        <w:rPr>
          <w:rFonts w:hint="eastAsia" w:ascii="宋体" w:hAnsi="宋体" w:eastAsia="宋体" w:cs="宋体"/>
          <w:sz w:val="22"/>
          <w:szCs w:val="22"/>
        </w:rPr>
        <w:t>定价机制及相关规章制度，服从</w:t>
      </w:r>
      <w:r>
        <w:rPr>
          <w:rFonts w:hint="eastAsia" w:ascii="宋体" w:hAnsi="宋体" w:eastAsia="宋体" w:cs="宋体"/>
          <w:sz w:val="22"/>
          <w:szCs w:val="22"/>
          <w:lang w:val="en-US" w:eastAsia="zh-CN"/>
        </w:rPr>
        <w:t>甲方</w:t>
      </w:r>
      <w:r>
        <w:rPr>
          <w:rFonts w:hint="eastAsia" w:ascii="宋体" w:hAnsi="宋体" w:eastAsia="宋体" w:cs="宋体"/>
          <w:sz w:val="22"/>
          <w:szCs w:val="22"/>
        </w:rPr>
        <w:t xml:space="preserve">方管理。 </w:t>
      </w:r>
    </w:p>
    <w:p w14:paraId="742FFE1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5.乙方应严格遵守《食品安全法》和《动物防疫法》等相关规定，一经发现供应以下食品，除全部退货外，甲方有权单方面解除本合同、取消乙方供货资格，并由乙方承担由此造成的经济责任和法律责任：</w:t>
      </w:r>
    </w:p>
    <w:p w14:paraId="5C4339F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（1）腐败变质、油脂酸败、霉变、生虫、污秽不洁、混有异物或者其他感官性状异常，可能对人体健康有害的。 </w:t>
      </w:r>
    </w:p>
    <w:p w14:paraId="43EA532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（2）含有毒、有害物质或者被有害物质污染、农药残留、兽药残留、生物毒素、重金属等对人体健康有害的。 </w:t>
      </w:r>
    </w:p>
    <w:p w14:paraId="5AD86916">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（3）含有致病性寄生虫、微生物或者微生物含量超过国家限定标准的。</w:t>
      </w:r>
    </w:p>
    <w:p w14:paraId="2AD7A1B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（4）未经动物检疫部门检疫、检验或者检疫、检验不合格的肉类及其制品。</w:t>
      </w:r>
    </w:p>
    <w:p w14:paraId="33031D8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（5）病死、毒死或者死因不明的禽、畜、兽、水产动物等及其制品。 </w:t>
      </w:r>
    </w:p>
    <w:p w14:paraId="6C8B93E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（6）用非食品原料加工的，加入非食品用化学物质或者将非食品当作食品的。 </w:t>
      </w:r>
    </w:p>
    <w:p w14:paraId="40EAA22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（7）其他违反法律法规与本合同约定情况的。 </w:t>
      </w:r>
    </w:p>
    <w:p w14:paraId="5FBDC2A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6.其他内容包括： </w:t>
      </w:r>
    </w:p>
    <w:p w14:paraId="291E596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（1）服务的应急措施及其他有助于提升食堂供餐品质、及食堂管理的服务。</w:t>
      </w:r>
    </w:p>
    <w:p w14:paraId="216D01B3">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（2）优惠承诺和特色服务等。 </w:t>
      </w:r>
    </w:p>
    <w:p w14:paraId="77BDCF2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（3）无条件响应采购单位提出的补货、退货、换货要求。 </w:t>
      </w:r>
    </w:p>
    <w:p w14:paraId="49D1C74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（4）乙方承担采购、配送、装运过程中的所有风险，确保安全、按时、按质将货送入指定地点。 </w:t>
      </w:r>
    </w:p>
    <w:p w14:paraId="0B23323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5）乙方的人员配置 乙方的项目总负责人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，联系方式：</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，乙方须确保人员稳定，人员变动须甲方备案。及时与甲方沟通，第一时间报告重大、紧急事件。</w:t>
      </w:r>
    </w:p>
    <w:p w14:paraId="4B0A589D">
      <w:pPr>
        <w:keepNext w:val="0"/>
        <w:keepLines w:val="0"/>
        <w:pageBreakBefore w:val="0"/>
        <w:widowControl/>
        <w:numPr>
          <w:ilvl w:val="0"/>
          <w:numId w:val="6"/>
        </w:numPr>
        <w:kinsoku/>
        <w:wordWrap/>
        <w:overflowPunct/>
        <w:topLinePunct w:val="0"/>
        <w:autoSpaceDE/>
        <w:autoSpaceDN/>
        <w:bidi w:val="0"/>
        <w:adjustRightInd/>
        <w:snapToGrid/>
        <w:spacing w:line="312" w:lineRule="auto"/>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定价和订货 </w:t>
      </w:r>
    </w:p>
    <w:p w14:paraId="39A5A34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sz w:val="22"/>
          <w:szCs w:val="22"/>
          <w:highlight w:val="none"/>
        </w:rPr>
        <w:t>定价流程：</w:t>
      </w:r>
      <w:r>
        <w:rPr>
          <w:rFonts w:hint="eastAsia" w:ascii="宋体" w:hAnsi="宋体" w:cs="宋体"/>
          <w:color w:val="auto"/>
          <w:sz w:val="22"/>
          <w:szCs w:val="22"/>
          <w:highlight w:val="none"/>
          <w:lang w:val="en-US" w:eastAsia="zh-CN"/>
        </w:rPr>
        <w:t>由中标供应商每天向采购人提供博爱县三家最大商超所供食材均价的平均值，该平均值为基准价格，</w:t>
      </w:r>
      <w:r>
        <w:rPr>
          <w:rFonts w:hint="eastAsia" w:ascii="宋体" w:hAnsi="宋体" w:eastAsia="宋体" w:cs="宋体"/>
          <w:color w:val="auto"/>
          <w:sz w:val="22"/>
          <w:szCs w:val="22"/>
          <w:lang w:val="en-US" w:eastAsia="zh-CN"/>
        </w:rPr>
        <w:t>采购人不定期对供货价格进行抽查与市场同类价格对比，对高于市场正常价格的，</w:t>
      </w:r>
      <w:r>
        <w:rPr>
          <w:rFonts w:hint="eastAsia" w:ascii="宋体" w:hAnsi="宋体" w:eastAsia="宋体" w:cs="宋体"/>
          <w:color w:val="auto"/>
          <w:sz w:val="22"/>
          <w:szCs w:val="22"/>
        </w:rPr>
        <w:t>给予警告，</w:t>
      </w:r>
      <w:r>
        <w:rPr>
          <w:rFonts w:hint="eastAsia" w:ascii="宋体" w:hAnsi="宋体" w:eastAsia="宋体" w:cs="宋体"/>
          <w:color w:val="auto"/>
          <w:sz w:val="22"/>
          <w:szCs w:val="22"/>
          <w:lang w:val="en-US" w:eastAsia="zh-CN"/>
        </w:rPr>
        <w:t>警告每次扣罚1个月食材结算费用，</w:t>
      </w:r>
      <w:r>
        <w:rPr>
          <w:rFonts w:hint="eastAsia" w:ascii="宋体" w:hAnsi="宋体" w:eastAsia="宋体" w:cs="宋体"/>
          <w:color w:val="auto"/>
          <w:sz w:val="22"/>
          <w:szCs w:val="22"/>
        </w:rPr>
        <w:t>警告次数达 3 次的，取消供应商供货资格。</w:t>
      </w:r>
      <w:r>
        <w:rPr>
          <w:rFonts w:hint="eastAsia" w:ascii="宋体" w:hAnsi="宋体" w:eastAsia="宋体" w:cs="宋体"/>
          <w:color w:val="auto"/>
          <w:sz w:val="22"/>
          <w:szCs w:val="22"/>
          <w:lang w:val="en-US" w:eastAsia="zh-CN"/>
        </w:rPr>
        <w:t>由第二顺序中标候选人接替，乙方不得干涉。</w:t>
      </w:r>
      <w:r>
        <w:rPr>
          <w:rFonts w:hint="eastAsia" w:ascii="宋体" w:hAnsi="宋体" w:eastAsia="宋体" w:cs="宋体"/>
          <w:color w:val="auto"/>
          <w:sz w:val="22"/>
          <w:szCs w:val="22"/>
        </w:rPr>
        <w:t xml:space="preserve"> </w:t>
      </w:r>
    </w:p>
    <w:p w14:paraId="0A58A61B">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供应商实际</w:t>
      </w:r>
      <w:r>
        <w:rPr>
          <w:rFonts w:hint="eastAsia" w:ascii="宋体" w:hAnsi="宋体" w:cs="宋体"/>
          <w:sz w:val="22"/>
          <w:szCs w:val="22"/>
          <w:lang w:eastAsia="zh-CN"/>
        </w:rPr>
        <w:t>货款</w:t>
      </w:r>
      <w:r>
        <w:rPr>
          <w:rFonts w:hint="eastAsia" w:ascii="宋体" w:hAnsi="宋体" w:eastAsia="宋体" w:cs="宋体"/>
          <w:sz w:val="22"/>
          <w:szCs w:val="22"/>
        </w:rPr>
        <w:t>=</w:t>
      </w:r>
      <w:r>
        <w:rPr>
          <w:rFonts w:hint="eastAsia" w:ascii="宋体" w:hAnsi="宋体" w:cs="宋体"/>
          <w:color w:val="auto"/>
          <w:sz w:val="22"/>
          <w:szCs w:val="22"/>
          <w:highlight w:val="none"/>
          <w:lang w:val="en-US" w:eastAsia="zh-CN"/>
        </w:rPr>
        <w:t>基准价格</w:t>
      </w:r>
      <w:r>
        <w:rPr>
          <w:rFonts w:hint="eastAsia" w:ascii="宋体" w:hAnsi="宋体" w:eastAsia="宋体" w:cs="宋体"/>
          <w:color w:val="auto"/>
          <w:sz w:val="22"/>
          <w:szCs w:val="22"/>
        </w:rPr>
        <w:t>*投标报价*实际供货量</w:t>
      </w:r>
      <w:r>
        <w:rPr>
          <w:rFonts w:hint="eastAsia" w:ascii="宋体" w:hAnsi="宋体" w:eastAsia="宋体" w:cs="宋体"/>
          <w:sz w:val="22"/>
          <w:szCs w:val="22"/>
        </w:rPr>
        <w:t>。</w:t>
      </w:r>
    </w:p>
    <w:p w14:paraId="1D1AE413">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配送价格应包含乙方所有</w:t>
      </w:r>
      <w:r>
        <w:rPr>
          <w:rFonts w:hint="eastAsia" w:ascii="宋体" w:hAnsi="宋体" w:eastAsia="宋体" w:cs="宋体"/>
          <w:sz w:val="22"/>
          <w:szCs w:val="22"/>
          <w:lang w:val="en-US" w:eastAsia="zh-CN"/>
        </w:rPr>
        <w:t>采购</w:t>
      </w:r>
      <w:r>
        <w:rPr>
          <w:rFonts w:hint="eastAsia" w:ascii="宋体" w:hAnsi="宋体" w:eastAsia="宋体" w:cs="宋体"/>
          <w:sz w:val="22"/>
          <w:szCs w:val="22"/>
        </w:rPr>
        <w:t>成本、税费、利润、运输、装卸、各类社保、保险、包装</w:t>
      </w:r>
      <w:r>
        <w:rPr>
          <w:rFonts w:hint="eastAsia" w:ascii="宋体" w:hAnsi="宋体" w:eastAsia="宋体" w:cs="宋体"/>
          <w:sz w:val="22"/>
          <w:szCs w:val="22"/>
          <w:lang w:val="en-US" w:eastAsia="zh-CN"/>
        </w:rPr>
        <w:t>检疫、检验</w:t>
      </w:r>
      <w:r>
        <w:rPr>
          <w:rFonts w:hint="eastAsia" w:ascii="宋体" w:hAnsi="宋体" w:eastAsia="宋体" w:cs="宋体"/>
          <w:sz w:val="22"/>
          <w:szCs w:val="22"/>
        </w:rPr>
        <w:t>等一切</w:t>
      </w:r>
      <w:r>
        <w:rPr>
          <w:rFonts w:hint="eastAsia" w:ascii="宋体" w:hAnsi="宋体" w:eastAsia="宋体" w:cs="宋体"/>
          <w:sz w:val="22"/>
          <w:szCs w:val="22"/>
          <w:lang w:val="en-US" w:eastAsia="zh-CN"/>
        </w:rPr>
        <w:t>与之相关</w:t>
      </w:r>
      <w:r>
        <w:rPr>
          <w:rFonts w:hint="eastAsia" w:ascii="宋体" w:hAnsi="宋体" w:eastAsia="宋体" w:cs="宋体"/>
          <w:sz w:val="22"/>
          <w:szCs w:val="22"/>
        </w:rPr>
        <w:t>费用。</w:t>
      </w:r>
    </w:p>
    <w:p w14:paraId="6AF39D26">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乙方接到</w:t>
      </w:r>
      <w:r>
        <w:rPr>
          <w:rFonts w:hint="eastAsia" w:ascii="宋体" w:hAnsi="宋体" w:eastAsia="宋体" w:cs="宋体"/>
          <w:sz w:val="22"/>
          <w:szCs w:val="22"/>
          <w:lang w:val="en-US" w:eastAsia="zh-CN"/>
        </w:rPr>
        <w:t>甲方</w:t>
      </w:r>
      <w:r>
        <w:rPr>
          <w:rFonts w:hint="eastAsia" w:ascii="宋体" w:hAnsi="宋体" w:eastAsia="宋体" w:cs="宋体"/>
          <w:sz w:val="22"/>
          <w:szCs w:val="22"/>
        </w:rPr>
        <w:t xml:space="preserve">订单后，个别品种因缺货而无法提供的，乙方应在接到订单当天内及时知会订单发起方并协商好解决方法。  </w:t>
      </w:r>
    </w:p>
    <w:p w14:paraId="4CF1AA9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交货、验收与付款 </w:t>
      </w:r>
    </w:p>
    <w:p w14:paraId="4BAC70C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乙方每天按订单规定时间将订单内所有食品送到订单发起方指定的地点并配送完毕，乙方提供《送货清单》一式两份，经</w:t>
      </w:r>
      <w:r>
        <w:rPr>
          <w:rFonts w:hint="eastAsia" w:ascii="宋体" w:hAnsi="宋体" w:eastAsia="宋体" w:cs="宋体"/>
          <w:sz w:val="22"/>
          <w:szCs w:val="22"/>
          <w:lang w:eastAsia="zh-CN"/>
        </w:rPr>
        <w:t>敬老院</w:t>
      </w:r>
      <w:r>
        <w:rPr>
          <w:rFonts w:hint="eastAsia" w:ascii="宋体" w:hAnsi="宋体" w:eastAsia="宋体" w:cs="宋体"/>
          <w:sz w:val="22"/>
          <w:szCs w:val="22"/>
        </w:rPr>
        <w:t xml:space="preserve">签收完毕后作结算凭证。 </w:t>
      </w:r>
    </w:p>
    <w:p w14:paraId="120A3DA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 xml:space="preserve">乙方提供的所有货品可食用合格率必须达到 </w:t>
      </w:r>
      <w:r>
        <w:rPr>
          <w:rFonts w:hint="eastAsia" w:ascii="宋体" w:hAnsi="宋体" w:eastAsia="宋体" w:cs="宋体"/>
          <w:sz w:val="22"/>
          <w:szCs w:val="22"/>
          <w:lang w:val="en-US" w:eastAsia="zh-CN"/>
        </w:rPr>
        <w:t>100</w:t>
      </w:r>
      <w:r>
        <w:rPr>
          <w:rFonts w:hint="eastAsia" w:ascii="宋体" w:hAnsi="宋体" w:eastAsia="宋体" w:cs="宋体"/>
          <w:sz w:val="22"/>
          <w:szCs w:val="22"/>
        </w:rPr>
        <w:t xml:space="preserve">％以上。 </w:t>
      </w:r>
    </w:p>
    <w:p w14:paraId="2517334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质量必须符合国家相关食品安全卫生标准，品质必须达到本合同食品质量安全要求。 </w:t>
      </w:r>
    </w:p>
    <w:p w14:paraId="0446AE5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乙方每月凭经</w:t>
      </w:r>
      <w:r>
        <w:rPr>
          <w:rFonts w:hint="eastAsia" w:ascii="宋体" w:hAnsi="宋体" w:eastAsia="宋体" w:cs="宋体"/>
          <w:sz w:val="22"/>
          <w:szCs w:val="22"/>
          <w:lang w:eastAsia="zh-CN"/>
        </w:rPr>
        <w:t>甲方</w:t>
      </w:r>
      <w:r>
        <w:rPr>
          <w:rFonts w:hint="eastAsia" w:ascii="宋体" w:hAnsi="宋体" w:eastAsia="宋体" w:cs="宋体"/>
          <w:sz w:val="22"/>
          <w:szCs w:val="22"/>
        </w:rPr>
        <w:t>确认的验收单与订单发起方结算一次（节假日顺延），由甲方结算上月应付的货款，双方确认结算无误后，乙方向</w:t>
      </w:r>
      <w:r>
        <w:rPr>
          <w:rFonts w:hint="eastAsia" w:ascii="宋体" w:hAnsi="宋体" w:eastAsia="宋体" w:cs="宋体"/>
          <w:sz w:val="22"/>
          <w:szCs w:val="22"/>
          <w:lang w:eastAsia="zh-CN"/>
        </w:rPr>
        <w:t>甲方</w:t>
      </w:r>
      <w:r>
        <w:rPr>
          <w:rFonts w:hint="eastAsia" w:ascii="宋体" w:hAnsi="宋体" w:eastAsia="宋体" w:cs="宋体"/>
          <w:sz w:val="22"/>
          <w:szCs w:val="22"/>
        </w:rPr>
        <w:t>开具符合财务要求的增值税发票，</w:t>
      </w:r>
      <w:r>
        <w:rPr>
          <w:rFonts w:hint="eastAsia" w:ascii="宋体" w:hAnsi="宋体" w:eastAsia="宋体" w:cs="宋体"/>
          <w:sz w:val="22"/>
          <w:szCs w:val="22"/>
          <w:lang w:eastAsia="zh-CN"/>
        </w:rPr>
        <w:t>甲方</w:t>
      </w:r>
      <w:r>
        <w:rPr>
          <w:rFonts w:hint="eastAsia" w:ascii="宋体" w:hAnsi="宋体" w:eastAsia="宋体" w:cs="宋体"/>
          <w:sz w:val="22"/>
          <w:szCs w:val="22"/>
        </w:rPr>
        <w:t>在收到发票后向乙方支付完毕；乙方未提供正规发票</w:t>
      </w:r>
      <w:r>
        <w:rPr>
          <w:rFonts w:hint="eastAsia" w:ascii="宋体" w:hAnsi="宋体" w:eastAsia="宋体" w:cs="宋体"/>
          <w:sz w:val="22"/>
          <w:szCs w:val="22"/>
          <w:lang w:eastAsia="zh-CN"/>
        </w:rPr>
        <w:t>甲方</w:t>
      </w:r>
      <w:r>
        <w:rPr>
          <w:rFonts w:hint="eastAsia" w:ascii="宋体" w:hAnsi="宋体" w:eastAsia="宋体" w:cs="宋体"/>
          <w:sz w:val="22"/>
          <w:szCs w:val="22"/>
        </w:rPr>
        <w:t xml:space="preserve">有权不支付采购款；因特殊原因甲方延迟支付的乙方不得因为费用支付不到位延迟供货或提供有差别的货物和服务。 </w:t>
      </w:r>
    </w:p>
    <w:p w14:paraId="4AD08A4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五、处罚、终止机制 </w:t>
      </w:r>
    </w:p>
    <w:p w14:paraId="79CF463B">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1.供应商有如下情况发生一经查实，终止供应商的供货资格，取消供应商及供应商法定代表人今后5 年投标资格，并追究有关法律责任。 </w:t>
      </w:r>
    </w:p>
    <w:p w14:paraId="115BCEE6">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1.1供应商发生食品安全问题； </w:t>
      </w:r>
    </w:p>
    <w:p w14:paraId="2000575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1.2 供应商发生转包及违反有关廉政规定；</w:t>
      </w:r>
    </w:p>
    <w:p w14:paraId="615F49E3">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1.3 供应商涉嫌重大违法乱纪或被市场监管部门处罚等事件；</w:t>
      </w:r>
    </w:p>
    <w:p w14:paraId="32E41930">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1.4 检查发现供应商委托其他供应商配送；</w:t>
      </w:r>
    </w:p>
    <w:p w14:paraId="1ABD0EF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1.5 供应商向甲方配送经营范围之外的商品；</w:t>
      </w:r>
    </w:p>
    <w:p w14:paraId="00691C3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1.6 供应商向甲方开具与实际配送不符的票据；</w:t>
      </w:r>
    </w:p>
    <w:p w14:paraId="75FB378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1.7 由于供应商原因对甲方造成重大不良影响。</w:t>
      </w:r>
    </w:p>
    <w:p w14:paraId="4F733DF2">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2.供应商有如下情况发生一经查实，给予警告，警告每次扣罚1个月食材结算费用，</w:t>
      </w:r>
      <w:r>
        <w:rPr>
          <w:rFonts w:hint="eastAsia" w:ascii="宋体" w:hAnsi="宋体" w:eastAsia="宋体" w:cs="宋体"/>
          <w:sz w:val="22"/>
          <w:szCs w:val="22"/>
        </w:rPr>
        <w:t>警告次数达 3 次的，取消供应商供货资格。</w:t>
      </w:r>
      <w:r>
        <w:rPr>
          <w:rFonts w:hint="eastAsia" w:ascii="宋体" w:hAnsi="宋体" w:eastAsia="宋体" w:cs="宋体"/>
          <w:sz w:val="22"/>
          <w:szCs w:val="22"/>
          <w:lang w:val="en-US" w:eastAsia="zh-CN"/>
        </w:rPr>
        <w:t xml:space="preserve">由第二顺序中标候选人接替，乙方不得干涉。 </w:t>
      </w:r>
    </w:p>
    <w:p w14:paraId="5FC5097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2.1供应商发生送货不及时等情况影响采购人正常用餐； </w:t>
      </w:r>
    </w:p>
    <w:p w14:paraId="69B780C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2.2 供应商发生供货质量差等情况； </w:t>
      </w:r>
    </w:p>
    <w:p w14:paraId="04F5F3E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2.3 供应商发生服务不到位等情况； </w:t>
      </w:r>
    </w:p>
    <w:p w14:paraId="01D11FA7">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2.4有主管部门抽查价格，发现供应商日常配送中已成交物价明显高于所在区域农贸市场的价格； </w:t>
      </w:r>
    </w:p>
    <w:p w14:paraId="1912E78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2.5 供应商不能按采购人要求及时发送分拣、农残检测、车辆出入等高清视频记录； </w:t>
      </w:r>
    </w:p>
    <w:p w14:paraId="58D5268B">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2.6  招投标中服务承诺未履行到位；</w:t>
      </w:r>
    </w:p>
    <w:p w14:paraId="04F3A968">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2.7  配送人员未提供有当地行政主管部门颁发健康证明；  </w:t>
      </w:r>
    </w:p>
    <w:p w14:paraId="784D1AF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2.8  配送人员有犯罪记录。</w:t>
      </w:r>
    </w:p>
    <w:p w14:paraId="4488467A">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3.其他处罚及说明 </w:t>
      </w:r>
    </w:p>
    <w:p w14:paraId="7836A823">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3.1 违反大宗食品配送其它规定的，可视情况进行相应处理； </w:t>
      </w:r>
    </w:p>
    <w:p w14:paraId="1841B9C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3.2在合同期间内，供应商因违反合同或服务约定次给予警告次数达3次，则立即终止供应商合同。 </w:t>
      </w:r>
    </w:p>
    <w:p w14:paraId="1ABFDD5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4、退出程序 </w:t>
      </w:r>
    </w:p>
    <w:p w14:paraId="4012D412">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1.中标人因自身原因无法履行配送的，需提前一个月向配送工作领导小组提出申请。 </w:t>
      </w:r>
    </w:p>
    <w:p w14:paraId="127BB6ED">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2.中标人不遵守有关配送规定被取消配送资格的。</w:t>
      </w:r>
    </w:p>
    <w:p w14:paraId="1D2E61A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3.警告每次扣罚1个月食材结算费用，</w:t>
      </w:r>
      <w:r>
        <w:rPr>
          <w:rFonts w:hint="eastAsia" w:ascii="宋体" w:hAnsi="宋体" w:eastAsia="宋体" w:cs="宋体"/>
          <w:sz w:val="22"/>
          <w:szCs w:val="22"/>
        </w:rPr>
        <w:t>警告次数达 3 次的，取消供应商供货资格。</w:t>
      </w:r>
      <w:r>
        <w:rPr>
          <w:rFonts w:hint="eastAsia" w:ascii="宋体" w:hAnsi="宋体" w:eastAsia="宋体" w:cs="宋体"/>
          <w:sz w:val="22"/>
          <w:szCs w:val="22"/>
          <w:lang w:val="en-US" w:eastAsia="zh-CN"/>
        </w:rPr>
        <w:t xml:space="preserve">由第二顺序中标候选人接替，乙方不得干涉。 </w:t>
      </w:r>
    </w:p>
    <w:p w14:paraId="1C89D22C">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七</w:t>
      </w:r>
      <w:r>
        <w:rPr>
          <w:rFonts w:hint="eastAsia" w:ascii="宋体" w:hAnsi="宋体" w:eastAsia="宋体" w:cs="宋体"/>
          <w:sz w:val="22"/>
          <w:szCs w:val="22"/>
        </w:rPr>
        <w:t xml:space="preserve">、争端的解决 </w:t>
      </w:r>
    </w:p>
    <w:p w14:paraId="22553176">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1.本协议履行的过程中发生的任何争议，若双方不能通过友好协商的方式加以解决，可到</w:t>
      </w:r>
      <w:r>
        <w:rPr>
          <w:rFonts w:hint="eastAsia" w:ascii="宋体" w:hAnsi="宋体" w:eastAsia="宋体" w:cs="宋体"/>
          <w:sz w:val="22"/>
          <w:szCs w:val="22"/>
          <w:lang w:val="en-US" w:eastAsia="zh-CN"/>
        </w:rPr>
        <w:t>孟州市</w:t>
      </w:r>
      <w:r>
        <w:rPr>
          <w:rFonts w:hint="eastAsia" w:ascii="宋体" w:hAnsi="宋体" w:eastAsia="宋体" w:cs="宋体"/>
          <w:sz w:val="22"/>
          <w:szCs w:val="22"/>
        </w:rPr>
        <w:t xml:space="preserve">人民法院提起诉讼。 </w:t>
      </w:r>
    </w:p>
    <w:p w14:paraId="1F7BB65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2.在法院审理期间，除提交法院审理的事项外，本协议其它事项和条款仍继续执行。</w:t>
      </w:r>
    </w:p>
    <w:p w14:paraId="61EBDAEF">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八</w:t>
      </w:r>
      <w:r>
        <w:rPr>
          <w:rFonts w:hint="eastAsia" w:ascii="宋体" w:hAnsi="宋体" w:eastAsia="宋体" w:cs="宋体"/>
          <w:sz w:val="22"/>
          <w:szCs w:val="22"/>
        </w:rPr>
        <w:t xml:space="preserve">、不可抗力事件处理 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 </w:t>
      </w:r>
    </w:p>
    <w:p w14:paraId="38C13950">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九</w:t>
      </w:r>
      <w:r>
        <w:rPr>
          <w:rFonts w:hint="eastAsia" w:ascii="宋体" w:hAnsi="宋体" w:eastAsia="宋体" w:cs="宋体"/>
          <w:sz w:val="22"/>
          <w:szCs w:val="22"/>
        </w:rPr>
        <w:t>、其他事项</w:t>
      </w:r>
    </w:p>
    <w:p w14:paraId="3E4411BF">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1.乙方需统一使用配送单，实现日常配送对账和结算，向</w:t>
      </w:r>
      <w:r>
        <w:rPr>
          <w:rFonts w:hint="eastAsia" w:ascii="宋体" w:hAnsi="宋体" w:eastAsia="宋体" w:cs="宋体"/>
          <w:sz w:val="22"/>
          <w:szCs w:val="22"/>
          <w:lang w:eastAsia="zh-CN"/>
        </w:rPr>
        <w:t>甲方</w:t>
      </w:r>
      <w:r>
        <w:rPr>
          <w:rFonts w:hint="eastAsia" w:ascii="宋体" w:hAnsi="宋体" w:eastAsia="宋体" w:cs="宋体"/>
          <w:sz w:val="22"/>
          <w:szCs w:val="22"/>
        </w:rPr>
        <w:t>开票，由</w:t>
      </w:r>
      <w:r>
        <w:rPr>
          <w:rFonts w:hint="eastAsia" w:ascii="宋体" w:hAnsi="宋体" w:eastAsia="宋体" w:cs="宋体"/>
          <w:sz w:val="22"/>
          <w:szCs w:val="22"/>
          <w:lang w:eastAsia="zh-CN"/>
        </w:rPr>
        <w:t>甲方</w:t>
      </w:r>
      <w:r>
        <w:rPr>
          <w:rFonts w:hint="eastAsia" w:ascii="宋体" w:hAnsi="宋体" w:eastAsia="宋体" w:cs="宋体"/>
          <w:sz w:val="22"/>
          <w:szCs w:val="22"/>
        </w:rPr>
        <w:t>结算。</w:t>
      </w:r>
    </w:p>
    <w:p w14:paraId="3E2A693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2.本协议执行期内，各方均不得随意变更或解除协议。协议有未尽事宜，须经各方共同协商做出补充规定。补充规定与本协议具有同等效力。 </w:t>
      </w:r>
    </w:p>
    <w:p w14:paraId="640E590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3.招标文件、</w:t>
      </w:r>
      <w:r>
        <w:rPr>
          <w:rFonts w:hint="eastAsia" w:ascii="宋体" w:hAnsi="宋体" w:eastAsia="宋体" w:cs="宋体"/>
          <w:sz w:val="22"/>
          <w:szCs w:val="22"/>
          <w:lang w:eastAsia="zh-CN"/>
        </w:rPr>
        <w:t>投标</w:t>
      </w:r>
      <w:r>
        <w:rPr>
          <w:rFonts w:hint="eastAsia" w:ascii="宋体" w:hAnsi="宋体" w:eastAsia="宋体" w:cs="宋体"/>
          <w:sz w:val="22"/>
          <w:szCs w:val="22"/>
        </w:rPr>
        <w:t>文件、更正公告、成交通知书、承诺函等均作为本合同组成部分，具有同等效力。</w:t>
      </w:r>
    </w:p>
    <w:p w14:paraId="1F8E73E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4.本协议一式肆份，甲乙双方各执贰份，具同等法律效力。 </w:t>
      </w:r>
    </w:p>
    <w:p w14:paraId="5A8983F5">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甲方：（盖章）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乙方：（盖章） </w:t>
      </w:r>
    </w:p>
    <w:p w14:paraId="10C7801F">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负责人：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负责人： </w:t>
      </w:r>
    </w:p>
    <w:p w14:paraId="444569B0">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住址：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住址： </w:t>
      </w:r>
    </w:p>
    <w:p w14:paraId="3ACA8BD4">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电话：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电话： </w:t>
      </w:r>
    </w:p>
    <w:p w14:paraId="2075ED10">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开户银行：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开户银行： </w:t>
      </w:r>
    </w:p>
    <w:p w14:paraId="08880A19">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银行账号：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银行账号： </w:t>
      </w:r>
    </w:p>
    <w:p w14:paraId="74BF4671">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220" w:firstLineChars="1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年 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年 月 日</w:t>
      </w:r>
    </w:p>
    <w:bookmarkEnd w:id="30"/>
    <w:p w14:paraId="7339D1BD">
      <w:pP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br w:type="page"/>
      </w:r>
    </w:p>
    <w:p w14:paraId="74C1AC5E">
      <w:pPr>
        <w:rPr>
          <w:rFonts w:hint="eastAsia"/>
        </w:rPr>
      </w:pPr>
    </w:p>
    <w:p w14:paraId="0C304170">
      <w:pPr>
        <w:pStyle w:val="2"/>
        <w:spacing w:before="0" w:after="0" w:line="360" w:lineRule="auto"/>
        <w:jc w:val="center"/>
        <w:rPr>
          <w:color w:val="000000" w:themeColor="text1"/>
          <w:kern w:val="0"/>
          <w:sz w:val="36"/>
          <w:szCs w:val="36"/>
          <w:highlight w:val="none"/>
          <w14:textFill>
            <w14:solidFill>
              <w14:schemeClr w14:val="tx1"/>
            </w14:solidFill>
          </w14:textFill>
        </w:rPr>
      </w:pPr>
      <w:bookmarkStart w:id="31" w:name="_Toc30461"/>
      <w:r>
        <w:rPr>
          <w:rFonts w:hint="eastAsia"/>
          <w:color w:val="000000" w:themeColor="text1"/>
          <w:kern w:val="0"/>
          <w:sz w:val="36"/>
          <w:szCs w:val="36"/>
          <w:highlight w:val="none"/>
          <w14:textFill>
            <w14:solidFill>
              <w14:schemeClr w14:val="tx1"/>
            </w14:solidFill>
          </w14:textFill>
        </w:rPr>
        <w:t>第</w:t>
      </w:r>
      <w:r>
        <w:rPr>
          <w:rFonts w:hint="eastAsia"/>
          <w:color w:val="000000" w:themeColor="text1"/>
          <w:kern w:val="0"/>
          <w:sz w:val="36"/>
          <w:szCs w:val="36"/>
          <w:highlight w:val="none"/>
          <w:lang w:val="en-US" w:eastAsia="zh-CN"/>
          <w14:textFill>
            <w14:solidFill>
              <w14:schemeClr w14:val="tx1"/>
            </w14:solidFill>
          </w14:textFill>
        </w:rPr>
        <w:t>七</w:t>
      </w:r>
      <w:r>
        <w:rPr>
          <w:rFonts w:hint="eastAsia"/>
          <w:color w:val="000000" w:themeColor="text1"/>
          <w:kern w:val="0"/>
          <w:sz w:val="36"/>
          <w:szCs w:val="36"/>
          <w:highlight w:val="none"/>
          <w14:textFill>
            <w14:solidFill>
              <w14:schemeClr w14:val="tx1"/>
            </w14:solidFill>
          </w14:textFill>
        </w:rPr>
        <w:t>部分  附件—供应商响应文件格式</w:t>
      </w:r>
      <w:bookmarkEnd w:id="31"/>
    </w:p>
    <w:p w14:paraId="324B303E">
      <w:pPr>
        <w:widowControl/>
        <w:snapToGrid w:val="0"/>
        <w:spacing w:line="360" w:lineRule="auto"/>
        <w:jc w:val="right"/>
        <w:rPr>
          <w:color w:val="000000" w:themeColor="text1"/>
          <w:kern w:val="0"/>
          <w:sz w:val="24"/>
          <w:highlight w:val="none"/>
          <w14:textFill>
            <w14:solidFill>
              <w14:schemeClr w14:val="tx1"/>
            </w14:solidFill>
          </w14:textFill>
        </w:rPr>
      </w:pPr>
    </w:p>
    <w:p w14:paraId="130777DB">
      <w:pPr>
        <w:pStyle w:val="25"/>
      </w:pPr>
    </w:p>
    <w:p w14:paraId="09868A1A">
      <w:pPr>
        <w:adjustRightInd w:val="0"/>
        <w:snapToGrid w:val="0"/>
        <w:spacing w:line="360" w:lineRule="auto"/>
        <w:jc w:val="center"/>
        <w:rPr>
          <w:rFonts w:hint="eastAsia" w:ascii="宋体" w:hAnsi="宋体"/>
          <w:color w:val="000000" w:themeColor="text1"/>
          <w:sz w:val="32"/>
          <w:szCs w:val="32"/>
          <w:highlight w:val="none"/>
          <w:u w:val="single"/>
          <w14:textFill>
            <w14:solidFill>
              <w14:schemeClr w14:val="tx1"/>
            </w14:solidFill>
          </w14:textFill>
        </w:rPr>
      </w:pPr>
    </w:p>
    <w:p w14:paraId="096CB72E">
      <w:pPr>
        <w:adjustRightInd w:val="0"/>
        <w:snapToGrid w:val="0"/>
        <w:spacing w:line="360" w:lineRule="auto"/>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olor w:val="000000" w:themeColor="text1"/>
          <w:sz w:val="32"/>
          <w:szCs w:val="32"/>
          <w:highlight w:val="none"/>
          <w:u w:val="single"/>
          <w14:textFill>
            <w14:solidFill>
              <w14:schemeClr w14:val="tx1"/>
            </w14:solidFill>
          </w14:textFill>
        </w:rPr>
        <w:t xml:space="preserve">（项目名称 </w:t>
      </w:r>
      <w:r>
        <w:rPr>
          <w:rFonts w:ascii="宋体" w:hAnsi="宋体"/>
          <w:color w:val="000000" w:themeColor="text1"/>
          <w:sz w:val="32"/>
          <w:szCs w:val="32"/>
          <w:highlight w:val="none"/>
          <w:u w:val="single"/>
          <w14:textFill>
            <w14:solidFill>
              <w14:schemeClr w14:val="tx1"/>
            </w14:solidFill>
          </w14:textFill>
        </w:rPr>
        <w:t>）</w:t>
      </w:r>
      <w:r>
        <w:rPr>
          <w:rFonts w:hint="eastAsia" w:ascii="宋体" w:hAnsi="宋体"/>
          <w:color w:val="000000" w:themeColor="text1"/>
          <w:sz w:val="32"/>
          <w:szCs w:val="32"/>
          <w:highlight w:val="none"/>
          <w:u w:val="single"/>
          <w:lang w:val="en-US" w:eastAsia="zh-CN"/>
          <w14:textFill>
            <w14:solidFill>
              <w14:schemeClr w14:val="tx1"/>
            </w14:solidFill>
          </w14:textFill>
        </w:rPr>
        <w:t>项目</w:t>
      </w:r>
    </w:p>
    <w:p w14:paraId="2ABC07E0">
      <w:pPr>
        <w:spacing w:line="360" w:lineRule="auto"/>
        <w:jc w:val="center"/>
        <w:rPr>
          <w:rFonts w:hint="eastAsia" w:ascii="宋体" w:hAnsi="宋体"/>
          <w:b/>
          <w:color w:val="000000" w:themeColor="text1"/>
          <w:sz w:val="96"/>
          <w:szCs w:val="90"/>
          <w:highlight w:val="none"/>
          <w14:textFill>
            <w14:solidFill>
              <w14:schemeClr w14:val="tx1"/>
            </w14:solidFill>
          </w14:textFill>
        </w:rPr>
      </w:pPr>
    </w:p>
    <w:p w14:paraId="0A86DDA4">
      <w:pPr>
        <w:spacing w:line="360" w:lineRule="auto"/>
        <w:jc w:val="center"/>
        <w:rPr>
          <w:rFonts w:hint="eastAsia" w:ascii="宋体" w:hAnsi="宋体"/>
          <w:b/>
          <w:color w:val="000000" w:themeColor="text1"/>
          <w:sz w:val="96"/>
          <w:szCs w:val="90"/>
          <w:highlight w:val="none"/>
          <w14:textFill>
            <w14:solidFill>
              <w14:schemeClr w14:val="tx1"/>
            </w14:solidFill>
          </w14:textFill>
        </w:rPr>
      </w:pPr>
      <w:r>
        <w:rPr>
          <w:rFonts w:hint="eastAsia" w:ascii="宋体" w:hAnsi="宋体"/>
          <w:b/>
          <w:color w:val="000000" w:themeColor="text1"/>
          <w:sz w:val="96"/>
          <w:szCs w:val="90"/>
          <w:highlight w:val="none"/>
          <w14:textFill>
            <w14:solidFill>
              <w14:schemeClr w14:val="tx1"/>
            </w14:solidFill>
          </w14:textFill>
        </w:rPr>
        <w:t>响应文件</w:t>
      </w:r>
    </w:p>
    <w:p w14:paraId="72F19812">
      <w:pPr>
        <w:spacing w:line="360" w:lineRule="auto"/>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（封面格式）</w:t>
      </w:r>
    </w:p>
    <w:p w14:paraId="3963CCEC">
      <w:pPr>
        <w:spacing w:line="360" w:lineRule="auto"/>
        <w:rPr>
          <w:rFonts w:hint="eastAsia" w:ascii="宋体" w:hAnsi="宋体"/>
          <w:color w:val="000000" w:themeColor="text1"/>
          <w:sz w:val="30"/>
          <w:szCs w:val="30"/>
          <w:highlight w:val="none"/>
          <w14:textFill>
            <w14:solidFill>
              <w14:schemeClr w14:val="tx1"/>
            </w14:solidFill>
          </w14:textFill>
        </w:rPr>
      </w:pPr>
    </w:p>
    <w:p w14:paraId="44B9403E">
      <w:pPr>
        <w:spacing w:line="360" w:lineRule="auto"/>
        <w:rPr>
          <w:rFonts w:hint="eastAsia" w:ascii="宋体" w:hAnsi="宋体"/>
          <w:color w:val="000000" w:themeColor="text1"/>
          <w:sz w:val="30"/>
          <w:szCs w:val="30"/>
          <w:highlight w:val="none"/>
          <w14:textFill>
            <w14:solidFill>
              <w14:schemeClr w14:val="tx1"/>
            </w14:solidFill>
          </w14:textFill>
        </w:rPr>
      </w:pPr>
    </w:p>
    <w:p w14:paraId="11E26172">
      <w:pPr>
        <w:spacing w:line="360" w:lineRule="auto"/>
        <w:rPr>
          <w:rFonts w:hint="eastAsia" w:ascii="宋体" w:hAnsi="宋体"/>
          <w:color w:val="000000" w:themeColor="text1"/>
          <w:sz w:val="30"/>
          <w:szCs w:val="30"/>
          <w:highlight w:val="none"/>
          <w14:textFill>
            <w14:solidFill>
              <w14:schemeClr w14:val="tx1"/>
            </w14:solidFill>
          </w14:textFill>
        </w:rPr>
      </w:pPr>
    </w:p>
    <w:p w14:paraId="2208A183">
      <w:pPr>
        <w:spacing w:line="360" w:lineRule="auto"/>
        <w:rPr>
          <w:rFonts w:hint="eastAsia" w:ascii="宋体" w:hAnsi="宋体"/>
          <w:color w:val="000000" w:themeColor="text1"/>
          <w:sz w:val="30"/>
          <w:szCs w:val="30"/>
          <w:highlight w:val="none"/>
          <w14:textFill>
            <w14:solidFill>
              <w14:schemeClr w14:val="tx1"/>
            </w14:solidFill>
          </w14:textFill>
        </w:rPr>
      </w:pPr>
    </w:p>
    <w:p w14:paraId="4028DA3C">
      <w:pPr>
        <w:spacing w:line="360" w:lineRule="auto"/>
        <w:ind w:firstLine="1059" w:firstLineChars="353"/>
        <w:rPr>
          <w:rFonts w:hint="eastAsia" w:ascii="宋体" w:hAnsi="宋体"/>
          <w:color w:val="000000" w:themeColor="text1"/>
          <w:sz w:val="30"/>
          <w:szCs w:val="30"/>
          <w:highlight w:val="none"/>
          <w:u w:val="singl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供 应 商：</w:t>
      </w:r>
      <w:r>
        <w:rPr>
          <w:rFonts w:hint="eastAsia" w:ascii="宋体" w:hAnsi="宋体"/>
          <w:color w:val="000000" w:themeColor="text1"/>
          <w:sz w:val="30"/>
          <w:szCs w:val="30"/>
          <w:highlight w:val="none"/>
          <w:u w:val="single"/>
          <w14:textFill>
            <w14:solidFill>
              <w14:schemeClr w14:val="tx1"/>
            </w14:solidFill>
          </w14:textFill>
        </w:rPr>
        <w:t xml:space="preserve">                                  </w:t>
      </w:r>
    </w:p>
    <w:p w14:paraId="7A48F9BF">
      <w:pPr>
        <w:spacing w:line="360" w:lineRule="auto"/>
        <w:ind w:firstLine="1059" w:firstLineChars="353"/>
        <w:rPr>
          <w:rFonts w:hint="eastAsia"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法定代表人（授权委托人）：</w:t>
      </w:r>
      <w:r>
        <w:rPr>
          <w:rFonts w:hint="eastAsia" w:ascii="宋体" w:hAnsi="宋体"/>
          <w:color w:val="000000" w:themeColor="text1"/>
          <w:sz w:val="30"/>
          <w:szCs w:val="30"/>
          <w:highlight w:val="none"/>
          <w:u w:val="single"/>
          <w14:textFill>
            <w14:solidFill>
              <w14:schemeClr w14:val="tx1"/>
            </w14:solidFill>
          </w14:textFill>
        </w:rPr>
        <w:t xml:space="preserve">    （签字或盖章）</w:t>
      </w:r>
      <w:r>
        <w:rPr>
          <w:rFonts w:hint="eastAsia" w:ascii="宋体" w:hAnsi="宋体"/>
          <w:color w:val="000000" w:themeColor="text1"/>
          <w:sz w:val="30"/>
          <w:szCs w:val="30"/>
          <w:highlight w:val="none"/>
          <w14:textFill>
            <w14:solidFill>
              <w14:schemeClr w14:val="tx1"/>
            </w14:solidFill>
          </w14:textFill>
        </w:rPr>
        <w:t xml:space="preserve"> </w:t>
      </w:r>
    </w:p>
    <w:p w14:paraId="5CA21F4D">
      <w:pPr>
        <w:spacing w:line="360" w:lineRule="auto"/>
        <w:ind w:firstLine="1059" w:firstLineChars="35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日      期：      年   月   日</w:t>
      </w:r>
    </w:p>
    <w:p w14:paraId="5297C42F">
      <w:pPr>
        <w:widowControl/>
        <w:spacing w:line="360" w:lineRule="auto"/>
        <w:jc w:val="left"/>
        <w:rPr>
          <w:rFonts w:hint="eastAsia" w:ascii="宋体" w:hAnsi="宋体"/>
          <w:b/>
          <w:bCs/>
          <w:color w:val="000000" w:themeColor="text1"/>
          <w:kern w:val="0"/>
          <w:sz w:val="36"/>
          <w:szCs w:val="36"/>
          <w:highlight w:val="none"/>
          <w14:textFill>
            <w14:solidFill>
              <w14:schemeClr w14:val="tx1"/>
            </w14:solidFill>
          </w14:textFill>
        </w:rPr>
      </w:pPr>
      <w:r>
        <w:rPr>
          <w:rFonts w:ascii="宋体" w:hAnsi="宋体"/>
          <w:b/>
          <w:bCs/>
          <w:color w:val="000000" w:themeColor="text1"/>
          <w:kern w:val="0"/>
          <w:sz w:val="36"/>
          <w:szCs w:val="36"/>
          <w:highlight w:val="none"/>
          <w14:textFill>
            <w14:solidFill>
              <w14:schemeClr w14:val="tx1"/>
            </w14:solidFill>
          </w14:textFill>
        </w:rPr>
        <w:br w:type="page"/>
      </w:r>
    </w:p>
    <w:p w14:paraId="234E188A">
      <w:pPr>
        <w:spacing w:line="360" w:lineRule="auto"/>
        <w:ind w:right="-92" w:rightChars="-44"/>
        <w:jc w:val="center"/>
        <w:rPr>
          <w:rFonts w:hint="eastAsia" w:ascii="宋体" w:hAnsi="宋体"/>
          <w:color w:val="000000" w:themeColor="text1"/>
          <w:kern w:val="0"/>
          <w:sz w:val="44"/>
          <w:szCs w:val="44"/>
          <w:highlight w:val="none"/>
          <w14:textFill>
            <w14:solidFill>
              <w14:schemeClr w14:val="tx1"/>
            </w14:solidFill>
          </w14:textFill>
        </w:rPr>
      </w:pPr>
      <w:r>
        <w:rPr>
          <w:rFonts w:hint="eastAsia" w:ascii="宋体" w:hAnsi="宋体"/>
          <w:b/>
          <w:bCs/>
          <w:color w:val="000000" w:themeColor="text1"/>
          <w:kern w:val="0"/>
          <w:sz w:val="44"/>
          <w:szCs w:val="44"/>
          <w:highlight w:val="none"/>
          <w14:textFill>
            <w14:solidFill>
              <w14:schemeClr w14:val="tx1"/>
            </w14:solidFill>
          </w14:textFill>
        </w:rPr>
        <w:t>目  录</w:t>
      </w:r>
    </w:p>
    <w:p w14:paraId="06103B55">
      <w:pPr>
        <w:widowControl/>
        <w:spacing w:line="360" w:lineRule="auto"/>
        <w:jc w:val="cente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（格式自拟）</w:t>
      </w:r>
    </w:p>
    <w:p w14:paraId="37C0CD26">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ascii="宋体" w:hAnsi="宋体"/>
          <w:b w:val="0"/>
          <w:color w:val="000000" w:themeColor="text1"/>
          <w:kern w:val="0"/>
          <w:sz w:val="28"/>
          <w:szCs w:val="28"/>
          <w:highlight w:val="none"/>
          <w14:textFill>
            <w14:solidFill>
              <w14:schemeClr w14:val="tx1"/>
            </w14:solidFill>
          </w14:textFill>
        </w:rPr>
        <w:br w:type="page"/>
      </w:r>
      <w:bookmarkStart w:id="32" w:name="_Toc23083"/>
      <w:r>
        <w:rPr>
          <w:rFonts w:hint="eastAsia" w:ascii="宋体" w:hAnsi="宋体" w:cs="宋体"/>
          <w:color w:val="000000" w:themeColor="text1"/>
          <w:sz w:val="28"/>
          <w:szCs w:val="28"/>
          <w:highlight w:val="none"/>
          <w14:textFill>
            <w14:solidFill>
              <w14:schemeClr w14:val="tx1"/>
            </w14:solidFill>
          </w14:textFill>
        </w:rPr>
        <w:t>附件1：</w:t>
      </w:r>
      <w:bookmarkEnd w:id="32"/>
    </w:p>
    <w:p w14:paraId="7A8AF727">
      <w:pPr>
        <w:widowControl/>
        <w:spacing w:line="360" w:lineRule="auto"/>
        <w:jc w:val="center"/>
        <w:rPr>
          <w:rFonts w:hint="eastAsia"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投标函</w:t>
      </w:r>
    </w:p>
    <w:p w14:paraId="403896E4">
      <w:pPr>
        <w:pStyle w:val="3"/>
        <w:rPr>
          <w:color w:val="000000" w:themeColor="text1"/>
          <w:highlight w:val="none"/>
          <w14:textFill>
            <w14:solidFill>
              <w14:schemeClr w14:val="tx1"/>
            </w14:solidFill>
          </w14:textFill>
        </w:rPr>
      </w:pPr>
    </w:p>
    <w:p w14:paraId="56018F41">
      <w:pPr>
        <w:widowControl/>
        <w:spacing w:line="360" w:lineRule="auto"/>
        <w:ind w:firstLine="562" w:firstLineChars="200"/>
        <w:rPr>
          <w:rFonts w:hint="eastAsia"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14E19612">
      <w:pPr>
        <w:pStyle w:val="25"/>
        <w:spacing w:after="0" w:line="360" w:lineRule="auto"/>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14:textFill>
            <w14:solidFill>
              <w14:schemeClr w14:val="tx1"/>
            </w14:solidFill>
          </w14:textFill>
        </w:rPr>
        <w:t xml:space="preserve">已收到的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采购文件及有关纪要通知，现</w:t>
      </w:r>
      <w:r>
        <w:rPr>
          <w:rFonts w:hint="eastAsia" w:ascii="宋体" w:hAnsi="宋体"/>
          <w:color w:val="000000" w:themeColor="text1"/>
          <w:sz w:val="24"/>
          <w:highlight w:val="none"/>
          <w14:textFill>
            <w14:solidFill>
              <w14:schemeClr w14:val="tx1"/>
            </w14:solidFill>
          </w14:textFill>
        </w:rPr>
        <w:t>对参与投标及成交后工作，做出如下郑重承诺：</w:t>
      </w:r>
    </w:p>
    <w:p w14:paraId="2D46E1C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1、我方愿以投标报价为</w:t>
      </w:r>
      <w:r>
        <w:rPr>
          <w:rFonts w:hint="eastAsia"/>
          <w:b w:val="0"/>
          <w:bCs w:val="0"/>
          <w:color w:val="auto"/>
          <w:spacing w:val="-1"/>
          <w:sz w:val="24"/>
          <w:szCs w:val="24"/>
          <w:u w:val="single"/>
          <w:lang w:val="en-US"/>
        </w:rPr>
        <w:t>博爱县三家最大商超均价平均值</w:t>
      </w:r>
      <w:r>
        <w:rPr>
          <w:rFonts w:hint="eastAsia"/>
          <w:b w:val="0"/>
          <w:bCs w:val="0"/>
          <w:color w:val="auto"/>
          <w:spacing w:val="-1"/>
          <w:sz w:val="24"/>
          <w:szCs w:val="24"/>
          <w:u w:val="single"/>
          <w:lang w:val="en-US" w:eastAsia="zh-CN"/>
        </w:rPr>
        <w:t>的</w:t>
      </w:r>
      <w:r>
        <w:rPr>
          <w:rFonts w:hint="eastAsia" w:ascii="宋体" w:hAnsi="宋体" w:cs="宋体"/>
          <w:b w:val="0"/>
          <w:bCs w:val="0"/>
          <w:color w:val="auto"/>
          <w:sz w:val="24"/>
          <w:highlight w:val="none"/>
          <w:u w:val="single"/>
          <w:lang w:val="en-US" w:eastAsia="zh-CN"/>
        </w:rPr>
        <w:t>百分之</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（小写）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Times New Roman"/>
          <w:i w:val="0"/>
          <w:iCs w:val="0"/>
          <w:color w:val="000000"/>
          <w:kern w:val="0"/>
          <w:sz w:val="24"/>
          <w:szCs w:val="24"/>
          <w:highlight w:val="none"/>
          <w:lang w:val="en-US" w:eastAsia="zh-CN" w:bidi="ar-SA"/>
        </w:rPr>
        <w:t>服务期限</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，按合同约定实施和完成本项目。 </w:t>
      </w:r>
    </w:p>
    <w:p w14:paraId="13500302">
      <w:pPr>
        <w:widowControl/>
        <w:spacing w:line="360" w:lineRule="auto"/>
        <w:ind w:firstLine="480" w:firstLineChars="200"/>
        <w:rPr>
          <w:rFonts w:hint="eastAsia"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7F901F4A">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570D6998">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3898D50B">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5A31E541">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734DBC9">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51E07A72">
      <w:pPr>
        <w:widowControl/>
        <w:spacing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2BC64BBF">
      <w:pPr>
        <w:widowControl/>
        <w:spacing w:line="360" w:lineRule="auto"/>
        <w:ind w:firstLine="480" w:firstLineChars="200"/>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71549A2D">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55ABAE9A">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752430BE">
      <w:pPr>
        <w:widowControl/>
        <w:spacing w:line="360" w:lineRule="auto"/>
        <w:ind w:firstLine="643" w:firstLineChars="200"/>
        <w:jc w:val="center"/>
        <w:rPr>
          <w:rFonts w:hint="eastAsia" w:ascii="宋体" w:hAnsi="宋体"/>
          <w:b/>
          <w:bCs/>
          <w:color w:val="000000" w:themeColor="text1"/>
          <w:kern w:val="0"/>
          <w:sz w:val="32"/>
          <w:szCs w:val="32"/>
          <w:highlight w:val="none"/>
          <w14:textFill>
            <w14:solidFill>
              <w14:schemeClr w14:val="tx1"/>
            </w14:solidFill>
          </w14:textFill>
        </w:rPr>
      </w:pPr>
    </w:p>
    <w:p w14:paraId="10B2D0C2">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p>
    <w:p w14:paraId="30CDB00D">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p>
    <w:p w14:paraId="6227B160">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p>
    <w:p w14:paraId="0B3C8451">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p>
    <w:p w14:paraId="6C1CCA2F">
      <w:pPr>
        <w:widowControl/>
        <w:spacing w:line="360" w:lineRule="auto"/>
        <w:jc w:val="center"/>
        <w:rPr>
          <w:rFonts w:hint="eastAsia" w:ascii="宋体" w:hAnsi="宋体"/>
          <w:b/>
          <w:bCs/>
          <w:color w:val="000000" w:themeColor="text1"/>
          <w:kern w:val="0"/>
          <w:sz w:val="28"/>
          <w:szCs w:val="28"/>
          <w:highlight w:val="none"/>
          <w14:textFill>
            <w14:solidFill>
              <w14:schemeClr w14:val="tx1"/>
            </w14:solidFill>
          </w14:textFill>
        </w:rPr>
      </w:pPr>
    </w:p>
    <w:p w14:paraId="2209634C">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一 </w:t>
      </w:r>
      <w:r>
        <w:rPr>
          <w:rFonts w:hint="eastAsia" w:ascii="宋体" w:hAnsi="宋体"/>
          <w:b/>
          <w:bCs/>
          <w:color w:val="000000" w:themeColor="text1"/>
          <w:kern w:val="0"/>
          <w:sz w:val="28"/>
          <w:szCs w:val="28"/>
          <w:highlight w:val="none"/>
          <w14:textFill>
            <w14:solidFill>
              <w14:schemeClr w14:val="tx1"/>
            </w14:solidFill>
          </w14:textFill>
        </w:rPr>
        <w:t>轮报价表</w:t>
      </w:r>
    </w:p>
    <w:p w14:paraId="5D331AF9">
      <w:pPr>
        <w:pStyle w:val="71"/>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287"/>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452" w:type="dxa"/>
            <w:vAlign w:val="center"/>
          </w:tcPr>
          <w:p w14:paraId="0C9E9D6C">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7287" w:type="dxa"/>
            <w:vAlign w:val="center"/>
          </w:tcPr>
          <w:p w14:paraId="3C09FF58">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452" w:type="dxa"/>
            <w:vAlign w:val="center"/>
          </w:tcPr>
          <w:p w14:paraId="137E5C2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7287" w:type="dxa"/>
            <w:vAlign w:val="center"/>
          </w:tcPr>
          <w:p w14:paraId="71A11B4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1452" w:type="dxa"/>
            <w:vAlign w:val="center"/>
          </w:tcPr>
          <w:p w14:paraId="40014E0F">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sz w:val="24"/>
                <w:szCs w:val="24"/>
              </w:rPr>
              <w:t>投标报价</w:t>
            </w:r>
          </w:p>
        </w:tc>
        <w:tc>
          <w:tcPr>
            <w:tcW w:w="7287" w:type="dxa"/>
            <w:vAlign w:val="center"/>
          </w:tcPr>
          <w:p w14:paraId="0D1C755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lang w:val="en-US"/>
                <w14:textFill>
                  <w14:solidFill>
                    <w14:schemeClr w14:val="tx1"/>
                  </w14:solidFill>
                </w14:textFill>
              </w:rPr>
              <w:t>博爱县三家最大商超均价平均值</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的百分之</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17CF1115">
            <w:pPr>
              <w:spacing w:line="360" w:lineRule="auto"/>
              <w:rPr>
                <w:rFonts w:hint="default" w:ascii="宋体" w:hAnsi="宋体" w:eastAsia="宋体"/>
                <w:color w:val="000000" w:themeColor="text1"/>
                <w:sz w:val="24"/>
                <w:highlight w:val="none"/>
                <w:u w:val="singl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lang w:val="en-US"/>
                <w14:textFill>
                  <w14:solidFill>
                    <w14:schemeClr w14:val="tx1"/>
                  </w14:solidFill>
                </w14:textFill>
              </w:rPr>
              <w:t>博爱县三家最大商超均价平均值</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的          %</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0BD09879">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服务期限</w:t>
            </w:r>
          </w:p>
        </w:tc>
        <w:tc>
          <w:tcPr>
            <w:tcW w:w="7287" w:type="dxa"/>
            <w:vAlign w:val="center"/>
          </w:tcPr>
          <w:p w14:paraId="5C76151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374F3CE0">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w:t>
            </w:r>
          </w:p>
        </w:tc>
        <w:tc>
          <w:tcPr>
            <w:tcW w:w="7287" w:type="dxa"/>
            <w:vAlign w:val="center"/>
          </w:tcPr>
          <w:p w14:paraId="75DF2B73">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0485BED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7287" w:type="dxa"/>
            <w:vAlign w:val="center"/>
          </w:tcPr>
          <w:p w14:paraId="19F61BB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19C538D1">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249B20F7">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E4C76F9">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067D2718">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0A518848">
      <w:pPr>
        <w:rPr>
          <w:rFonts w:hint="eastAsia" w:ascii="宋体" w:hAnsi="宋体"/>
          <w:b/>
          <w:bCs/>
          <w:color w:val="000000" w:themeColor="text1"/>
          <w:kern w:val="0"/>
          <w:sz w:val="28"/>
          <w:szCs w:val="28"/>
          <w:highlight w:val="none"/>
          <w14:textFill>
            <w14:solidFill>
              <w14:schemeClr w14:val="tx1"/>
            </w14:solidFill>
          </w14:textFill>
        </w:rPr>
      </w:pPr>
      <w:bookmarkStart w:id="33" w:name="_Toc23799"/>
      <w:bookmarkStart w:id="34" w:name="_Toc12799"/>
      <w:r>
        <w:rPr>
          <w:rFonts w:hint="eastAsia" w:ascii="宋体" w:hAnsi="宋体"/>
          <w:b/>
          <w:bCs/>
          <w:color w:val="000000" w:themeColor="text1"/>
          <w:kern w:val="0"/>
          <w:sz w:val="28"/>
          <w:szCs w:val="28"/>
          <w:highlight w:val="none"/>
          <w14:textFill>
            <w14:solidFill>
              <w14:schemeClr w14:val="tx1"/>
            </w14:solidFill>
          </w14:textFill>
        </w:rPr>
        <w:br w:type="page"/>
      </w:r>
    </w:p>
    <w:p w14:paraId="26889A10">
      <w:pPr>
        <w:widowControl/>
        <w:spacing w:line="360" w:lineRule="auto"/>
        <w:jc w:val="center"/>
        <w:rPr>
          <w:color w:val="000000" w:themeColor="text1"/>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第</w:t>
      </w:r>
      <w:r>
        <w:rPr>
          <w:rFonts w:hint="eastAsia" w:ascii="宋体" w:hAnsi="宋体"/>
          <w:b/>
          <w:bCs/>
          <w:color w:val="000000" w:themeColor="text1"/>
          <w:kern w:val="0"/>
          <w:sz w:val="28"/>
          <w:szCs w:val="28"/>
          <w:highlight w:val="none"/>
          <w:u w:val="single"/>
          <w14:textFill>
            <w14:solidFill>
              <w14:schemeClr w14:val="tx1"/>
            </w14:solidFill>
          </w14:textFill>
        </w:rPr>
        <w:t xml:space="preserve"> </w:t>
      </w:r>
      <w:r>
        <w:rPr>
          <w:rFonts w:hint="eastAsia" w:ascii="宋体" w:hAnsi="宋体"/>
          <w:b/>
          <w:bCs/>
          <w:color w:val="000000" w:themeColor="text1"/>
          <w:kern w:val="0"/>
          <w:sz w:val="28"/>
          <w:szCs w:val="28"/>
          <w:highlight w:val="none"/>
          <w:u w:val="single"/>
          <w:lang w:val="en-US" w:eastAsia="zh-CN"/>
          <w14:textFill>
            <w14:solidFill>
              <w14:schemeClr w14:val="tx1"/>
            </w14:solidFill>
          </w14:textFill>
        </w:rPr>
        <w:t xml:space="preserve">二 </w:t>
      </w:r>
      <w:r>
        <w:rPr>
          <w:rFonts w:hint="eastAsia" w:ascii="宋体" w:hAnsi="宋体"/>
          <w:b/>
          <w:bCs/>
          <w:color w:val="000000" w:themeColor="text1"/>
          <w:kern w:val="0"/>
          <w:sz w:val="28"/>
          <w:szCs w:val="28"/>
          <w:highlight w:val="none"/>
          <w14:textFill>
            <w14:solidFill>
              <w14:schemeClr w14:val="tx1"/>
            </w14:solidFill>
          </w14:textFill>
        </w:rPr>
        <w:t>轮报价表</w:t>
      </w:r>
    </w:p>
    <w:p w14:paraId="04866860">
      <w:pPr>
        <w:pStyle w:val="71"/>
        <w:spacing w:line="36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说明：1、供应商单位应将第一轮报价填入下表并按要求签字或盖章，本表要附在响应文件中。</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287"/>
      </w:tblGrid>
      <w:tr w14:paraId="5130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452" w:type="dxa"/>
            <w:vAlign w:val="center"/>
          </w:tcPr>
          <w:p w14:paraId="5A8FDED4">
            <w:pPr>
              <w:spacing w:line="360" w:lineRule="auto"/>
              <w:jc w:val="center"/>
              <w:rPr>
                <w:rFonts w:hint="default" w:ascii="宋体" w:hAnsi="宋体" w:eastAsia="宋体"/>
                <w:color w:val="000000" w:themeColor="text1"/>
                <w:sz w:val="24"/>
                <w:highlight w:val="non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项目名称</w:t>
            </w:r>
          </w:p>
        </w:tc>
        <w:tc>
          <w:tcPr>
            <w:tcW w:w="7287" w:type="dxa"/>
            <w:vAlign w:val="center"/>
          </w:tcPr>
          <w:p w14:paraId="7CF69397">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78BB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452" w:type="dxa"/>
            <w:vAlign w:val="center"/>
          </w:tcPr>
          <w:p w14:paraId="4D08B29C">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tc>
        <w:tc>
          <w:tcPr>
            <w:tcW w:w="7287" w:type="dxa"/>
            <w:vAlign w:val="center"/>
          </w:tcPr>
          <w:p w14:paraId="54E9729D">
            <w:pPr>
              <w:spacing w:line="360" w:lineRule="auto"/>
              <w:rPr>
                <w:rFonts w:hint="eastAsia" w:ascii="宋体" w:hAnsi="宋体"/>
                <w:color w:val="000000" w:themeColor="text1"/>
                <w:sz w:val="24"/>
                <w:highlight w:val="none"/>
                <w:shd w:val="clear" w:color="auto" w:fill="FFFFFF"/>
                <w14:textFill>
                  <w14:solidFill>
                    <w14:schemeClr w14:val="tx1"/>
                  </w14:solidFill>
                </w14:textFill>
              </w:rPr>
            </w:pPr>
          </w:p>
        </w:tc>
      </w:tr>
      <w:tr w14:paraId="1E34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1452" w:type="dxa"/>
            <w:vAlign w:val="center"/>
          </w:tcPr>
          <w:p w14:paraId="630F05BB">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sz w:val="24"/>
                <w:szCs w:val="24"/>
              </w:rPr>
              <w:t>投标报价</w:t>
            </w:r>
          </w:p>
        </w:tc>
        <w:tc>
          <w:tcPr>
            <w:tcW w:w="7287" w:type="dxa"/>
            <w:vAlign w:val="center"/>
          </w:tcPr>
          <w:p w14:paraId="6B9B7ABC">
            <w:pPr>
              <w:spacing w:line="360" w:lineRule="auto"/>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（大写）</w:t>
            </w:r>
            <w:r>
              <w:rPr>
                <w:rFonts w:hint="eastAsia" w:ascii="宋体" w:hAnsi="宋体"/>
                <w:color w:val="000000" w:themeColor="text1"/>
                <w:sz w:val="24"/>
                <w:highlight w:val="none"/>
                <w:u w:val="single"/>
                <w:shd w:val="clear" w:color="auto" w:fill="FFFFFF"/>
                <w:lang w:val="en-US"/>
                <w14:textFill>
                  <w14:solidFill>
                    <w14:schemeClr w14:val="tx1"/>
                  </w14:solidFill>
                </w14:textFill>
              </w:rPr>
              <w:t>博爱县三家最大商超均价平均值</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的百分之</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p>
          <w:p w14:paraId="7321E5BE">
            <w:pPr>
              <w:spacing w:line="360" w:lineRule="auto"/>
              <w:rPr>
                <w:rFonts w:hint="default" w:ascii="宋体" w:hAnsi="宋体" w:eastAsia="宋体"/>
                <w:color w:val="000000" w:themeColor="text1"/>
                <w:sz w:val="24"/>
                <w:highlight w:val="none"/>
                <w:u w:val="single"/>
                <w:shd w:val="clear" w:color="auto" w:fill="FFFFFF"/>
                <w:lang w:val="en-US" w:eastAsia="zh-CN"/>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（小写）</w:t>
            </w:r>
            <w:r>
              <w:rPr>
                <w:rFonts w:hint="eastAsia" w:ascii="宋体" w:hAnsi="宋体"/>
                <w:color w:val="000000" w:themeColor="text1"/>
                <w:sz w:val="24"/>
                <w:highlight w:val="none"/>
                <w:u w:val="single"/>
                <w:shd w:val="clear" w:color="auto" w:fill="FFFFFF"/>
                <w:lang w:val="en-US"/>
                <w14:textFill>
                  <w14:solidFill>
                    <w14:schemeClr w14:val="tx1"/>
                  </w14:solidFill>
                </w14:textFill>
              </w:rPr>
              <w:t>博爱县三家最大商超均价平均值</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的          %</w:t>
            </w:r>
            <w:r>
              <w:rPr>
                <w:rFonts w:hint="eastAsia" w:ascii="宋体" w:hAnsi="宋体"/>
                <w:color w:val="000000" w:themeColor="text1"/>
                <w:sz w:val="24"/>
                <w:highlight w:val="none"/>
                <w:u w:val="single"/>
                <w:shd w:val="clear" w:color="auto" w:fill="FFFFFF"/>
                <w14:textFill>
                  <w14:solidFill>
                    <w14:schemeClr w14:val="tx1"/>
                  </w14:solidFill>
                </w14:textFill>
              </w:rPr>
              <w:t xml:space="preserve"> </w:t>
            </w:r>
            <w:r>
              <w:rPr>
                <w:rFonts w:hint="eastAsia" w:ascii="宋体" w:hAnsi="宋体"/>
                <w:color w:val="000000" w:themeColor="text1"/>
                <w:sz w:val="24"/>
                <w:highlight w:val="none"/>
                <w:u w:val="single"/>
                <w:shd w:val="clear" w:color="auto" w:fill="FFFFFF"/>
                <w:lang w:val="en-US" w:eastAsia="zh-CN"/>
                <w14:textFill>
                  <w14:solidFill>
                    <w14:schemeClr w14:val="tx1"/>
                  </w14:solidFill>
                </w14:textFill>
              </w:rPr>
              <w:t xml:space="preserve"> </w:t>
            </w:r>
          </w:p>
        </w:tc>
      </w:tr>
      <w:tr w14:paraId="612E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6DF99B12">
            <w:pPr>
              <w:spacing w:line="360" w:lineRule="auto"/>
              <w:jc w:val="center"/>
              <w:rPr>
                <w:rFonts w:hint="eastAsia" w:ascii="宋体" w:hAnsi="宋体" w:eastAsia="宋体"/>
                <w:color w:val="000000" w:themeColor="text1"/>
                <w:sz w:val="24"/>
                <w:highlight w:val="none"/>
                <w:shd w:val="clear" w:color="auto" w:fill="FFFFFF"/>
                <w:lang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服务期限</w:t>
            </w:r>
          </w:p>
        </w:tc>
        <w:tc>
          <w:tcPr>
            <w:tcW w:w="7287" w:type="dxa"/>
            <w:vAlign w:val="center"/>
          </w:tcPr>
          <w:p w14:paraId="31BF585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5752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4D992C8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质量</w:t>
            </w:r>
          </w:p>
        </w:tc>
        <w:tc>
          <w:tcPr>
            <w:tcW w:w="7287" w:type="dxa"/>
            <w:vAlign w:val="center"/>
          </w:tcPr>
          <w:p w14:paraId="61394602">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7FF4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52" w:type="dxa"/>
            <w:vAlign w:val="center"/>
          </w:tcPr>
          <w:p w14:paraId="7ED287FD">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投标有效期</w:t>
            </w:r>
          </w:p>
        </w:tc>
        <w:tc>
          <w:tcPr>
            <w:tcW w:w="7287" w:type="dxa"/>
            <w:vAlign w:val="center"/>
          </w:tcPr>
          <w:p w14:paraId="090F4AB1">
            <w:pPr>
              <w:spacing w:line="360" w:lineRule="auto"/>
              <w:jc w:val="center"/>
              <w:rPr>
                <w:rFonts w:hint="eastAsia" w:ascii="宋体" w:hAnsi="宋体"/>
                <w:color w:val="000000" w:themeColor="text1"/>
                <w:sz w:val="24"/>
                <w:highlight w:val="none"/>
                <w:shd w:val="clear" w:color="auto" w:fill="FFFFFF"/>
                <w14:textFill>
                  <w14:solidFill>
                    <w14:schemeClr w14:val="tx1"/>
                  </w14:solidFill>
                </w14:textFill>
              </w:rPr>
            </w:pPr>
          </w:p>
        </w:tc>
      </w:tr>
      <w:tr w14:paraId="266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6FF53FDB">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优惠及服务承诺：</w:t>
            </w:r>
          </w:p>
          <w:p w14:paraId="7A81B450">
            <w:pPr>
              <w:spacing w:line="360" w:lineRule="auto"/>
              <w:ind w:firstLine="482" w:firstLineChars="200"/>
              <w:jc w:val="left"/>
              <w:rPr>
                <w:rFonts w:hint="eastAsia" w:ascii="宋体" w:hAnsi="宋体"/>
                <w:b/>
                <w:color w:val="000000" w:themeColor="text1"/>
                <w:sz w:val="24"/>
                <w:highlight w:val="none"/>
                <w:shd w:val="clear" w:color="auto" w:fill="FFFFFF"/>
                <w14:textFill>
                  <w14:solidFill>
                    <w14:schemeClr w14:val="tx1"/>
                  </w14:solidFill>
                </w14:textFill>
              </w:rPr>
            </w:pPr>
            <w:r>
              <w:rPr>
                <w:rFonts w:hint="eastAsia" w:ascii="宋体" w:hAnsi="宋体"/>
                <w:b/>
                <w:color w:val="000000" w:themeColor="text1"/>
                <w:sz w:val="24"/>
                <w:highlight w:val="none"/>
                <w:shd w:val="clear" w:color="auto" w:fill="FFFFFF"/>
                <w14:textFill>
                  <w14:solidFill>
                    <w14:schemeClr w14:val="tx1"/>
                  </w14:solidFill>
                </w14:textFill>
              </w:rPr>
              <w:t>（可另附页）</w:t>
            </w:r>
          </w:p>
        </w:tc>
      </w:tr>
    </w:tbl>
    <w:p w14:paraId="7D622064">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供应商（盖章）：                               </w:t>
      </w:r>
    </w:p>
    <w:p w14:paraId="6DEEDFA8">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法人代表或授权代表（签字或盖章）：                                                </w:t>
      </w:r>
    </w:p>
    <w:p w14:paraId="2E94C5B6">
      <w:pPr>
        <w:spacing w:line="360" w:lineRule="auto"/>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   </w:t>
      </w:r>
    </w:p>
    <w:p w14:paraId="71FAF1A0">
      <w:pPr>
        <w:widowControl/>
        <w:spacing w:line="560" w:lineRule="atLeast"/>
        <w:ind w:firstLine="482"/>
        <w:rPr>
          <w:rFonts w:ascii="宋体" w:hAnsi="宋体" w:eastAsia="宋体" w:cs="宋体"/>
          <w:b/>
          <w:bCs/>
          <w:color w:val="auto"/>
          <w:sz w:val="24"/>
          <w:lang w:eastAsia="zh-CN"/>
        </w:rPr>
      </w:pPr>
      <w:r>
        <w:rPr>
          <w:rFonts w:hint="eastAsia" w:ascii="宋体" w:hAnsi="宋体" w:eastAsia="宋体" w:cs="宋体"/>
          <w:b/>
          <w:bCs/>
          <w:color w:val="auto"/>
          <w:sz w:val="24"/>
          <w:lang w:eastAsia="zh-CN"/>
        </w:rPr>
        <w:t>注：投标供应商在系统进行第二轮报价时，须同时以附件方式上传第二轮报价表。</w:t>
      </w:r>
    </w:p>
    <w:bookmarkEnd w:id="33"/>
    <w:bookmarkEnd w:id="34"/>
    <w:p w14:paraId="3B568EFD">
      <w:pPr>
        <w:pStyle w:val="14"/>
        <w:adjustRightInd w:val="0"/>
        <w:snapToGrid w:val="0"/>
        <w:spacing w:line="360" w:lineRule="auto"/>
        <w:jc w:val="both"/>
        <w:rPr>
          <w:rFonts w:hAnsi="Calibri"/>
          <w:color w:val="000000" w:themeColor="text1"/>
          <w:sz w:val="24"/>
          <w:szCs w:val="24"/>
          <w:highlight w:val="none"/>
          <w14:textFill>
            <w14:solidFill>
              <w14:schemeClr w14:val="tx1"/>
            </w14:solidFill>
          </w14:textFill>
        </w:rPr>
      </w:pPr>
    </w:p>
    <w:p w14:paraId="4F1C0DCF">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bookmarkStart w:id="35" w:name="_Toc25259"/>
    </w:p>
    <w:p w14:paraId="277C72B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p>
    <w:p w14:paraId="7C0C68EB">
      <w:pPr>
        <w:pStyle w:val="3"/>
        <w:spacing w:before="0" w:after="0"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附件2：</w:t>
      </w:r>
      <w:bookmarkEnd w:id="35"/>
    </w:p>
    <w:p w14:paraId="032205F2">
      <w:pPr>
        <w:rPr>
          <w:color w:val="000000" w:themeColor="text1"/>
          <w:highlight w:val="none"/>
          <w14:textFill>
            <w14:solidFill>
              <w14:schemeClr w14:val="tx1"/>
            </w14:solidFill>
          </w14:textFill>
        </w:rPr>
      </w:pPr>
    </w:p>
    <w:p w14:paraId="4B4AD11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法定代表人身份证明</w:t>
      </w:r>
    </w:p>
    <w:p w14:paraId="1043E701">
      <w:pPr>
        <w:rPr>
          <w:color w:val="000000" w:themeColor="text1"/>
          <w:highlight w:val="none"/>
          <w14:textFill>
            <w14:solidFill>
              <w14:schemeClr w14:val="tx1"/>
            </w14:solidFill>
          </w14:textFill>
        </w:rPr>
      </w:pPr>
    </w:p>
    <w:p w14:paraId="1801C9B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7A4156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D4B794">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79368F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D2F323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6A610F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p>
    <w:p w14:paraId="4BE5BB48">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474E940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C925080">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rPr>
          <w:rFonts w:hint="eastAsia" w:ascii="宋体" w:hAnsi="宋体"/>
          <w:color w:val="000000" w:themeColor="text1"/>
          <w:sz w:val="24"/>
          <w:highlight w:val="none"/>
          <w14:textFill>
            <w14:solidFill>
              <w14:schemeClr w14:val="tx1"/>
            </w14:solidFill>
          </w14:textFill>
        </w:rPr>
      </w:pPr>
    </w:p>
    <w:p w14:paraId="67E6B56B">
      <w:pPr>
        <w:pStyle w:val="3"/>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rPr>
          <w:rFonts w:hint="eastAsia" w:ascii="宋体" w:hAnsi="宋体"/>
          <w:color w:val="000000" w:themeColor="text1"/>
          <w:sz w:val="24"/>
          <w:highlight w:val="none"/>
          <w14:textFill>
            <w14:solidFill>
              <w14:schemeClr w14:val="tx1"/>
            </w14:solidFill>
          </w14:textFill>
        </w:rPr>
      </w:pPr>
    </w:p>
    <w:p w14:paraId="32F6F7C5">
      <w:pPr>
        <w:spacing w:line="360" w:lineRule="auto"/>
        <w:rPr>
          <w:rFonts w:hint="eastAsia" w:ascii="宋体" w:hAnsi="宋体"/>
          <w:color w:val="000000" w:themeColor="text1"/>
          <w:sz w:val="24"/>
          <w:highlight w:val="none"/>
          <w14:textFill>
            <w14:solidFill>
              <w14:schemeClr w14:val="tx1"/>
            </w14:solidFill>
          </w14:textFill>
        </w:rPr>
      </w:pPr>
    </w:p>
    <w:p w14:paraId="478C154F">
      <w:pPr>
        <w:spacing w:line="360" w:lineRule="auto"/>
        <w:rPr>
          <w:rFonts w:hint="eastAsia" w:ascii="宋体" w:hAnsi="宋体"/>
          <w:color w:val="000000" w:themeColor="text1"/>
          <w:sz w:val="24"/>
          <w:highlight w:val="none"/>
          <w14:textFill>
            <w14:solidFill>
              <w14:schemeClr w14:val="tx1"/>
            </w14:solidFill>
          </w14:textFill>
        </w:rPr>
      </w:pPr>
    </w:p>
    <w:p w14:paraId="641A623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 （盖单位章）</w:t>
      </w:r>
    </w:p>
    <w:p w14:paraId="6337EFF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3FDB1D7">
      <w:pPr>
        <w:spacing w:line="360" w:lineRule="auto"/>
        <w:ind w:firstLine="6480" w:firstLineChars="27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0835C6C0">
      <w:pPr>
        <w:pStyle w:val="3"/>
        <w:spacing w:before="0" w:after="0" w:line="360" w:lineRule="auto"/>
        <w:rPr>
          <w:rFonts w:hint="eastAsia" w:ascii="宋体" w:hAnsi="宋体" w:cs="宋体"/>
          <w:color w:val="000000" w:themeColor="text1"/>
          <w:highlight w:val="none"/>
          <w14:textFill>
            <w14:solidFill>
              <w14:schemeClr w14:val="tx1"/>
            </w14:solidFill>
          </w14:textFill>
        </w:rPr>
      </w:pPr>
      <w:bookmarkStart w:id="36" w:name="_Toc28332"/>
    </w:p>
    <w:p w14:paraId="220CF909">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669C8083">
      <w:pPr>
        <w:pStyle w:val="3"/>
        <w:spacing w:before="0" w:after="0"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w:t>
      </w:r>
      <w:bookmarkEnd w:id="36"/>
    </w:p>
    <w:p w14:paraId="1CFB01BA">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授权委托书</w:t>
      </w:r>
    </w:p>
    <w:p w14:paraId="647DF1C4">
      <w:pPr>
        <w:rPr>
          <w:color w:val="000000" w:themeColor="text1"/>
          <w:highlight w:val="none"/>
          <w14:textFill>
            <w14:solidFill>
              <w14:schemeClr w14:val="tx1"/>
            </w14:solidFill>
          </w14:textFill>
        </w:rPr>
      </w:pPr>
    </w:p>
    <w:p w14:paraId="4EB0EB0E">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（项目名称）项目响应文件、签订合同和处理有关事宜，其法律后果由我方承担。</w:t>
      </w:r>
    </w:p>
    <w:p w14:paraId="743665C7">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65EB807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6AD760F">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p>
    <w:p w14:paraId="1288E6DD">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290D6BD3">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CCD4C61">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AF7E30F">
      <w:pPr>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52CE7B4C">
      <w:pPr>
        <w:spacing w:line="360" w:lineRule="auto"/>
        <w:jc w:val="left"/>
        <w:rPr>
          <w:rFonts w:hint="eastAsia" w:ascii="宋体" w:hAnsi="宋体"/>
          <w:color w:val="000000" w:themeColor="text1"/>
          <w:sz w:val="24"/>
          <w:highlight w:val="none"/>
          <w14:textFill>
            <w14:solidFill>
              <w14:schemeClr w14:val="tx1"/>
            </w14:solidFill>
          </w14:textFill>
        </w:rPr>
      </w:pPr>
    </w:p>
    <w:p w14:paraId="565D00C1">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48F2C667">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24B2328A">
      <w:pPr>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634998CB">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p>
    <w:p w14:paraId="19779A96">
      <w:pPr>
        <w:spacing w:line="360" w:lineRule="auto"/>
        <w:ind w:firstLine="5040" w:firstLineChars="21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C72231E">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0409AA2A">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1248AF8F">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p>
    <w:p w14:paraId="240ACACD">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1B9F955">
      <w:pPr>
        <w:widowControl/>
        <w:spacing w:line="36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附件4：</w:t>
      </w:r>
    </w:p>
    <w:p w14:paraId="369F1E00">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供应商的资格证明承诺函</w:t>
      </w:r>
    </w:p>
    <w:p w14:paraId="114EC3F7">
      <w:pPr>
        <w:rPr>
          <w:color w:val="000000" w:themeColor="text1"/>
          <w:highlight w:val="none"/>
          <w14:textFill>
            <w14:solidFill>
              <w14:schemeClr w14:val="tx1"/>
            </w14:solidFill>
          </w14:textFill>
        </w:rPr>
      </w:pPr>
    </w:p>
    <w:p w14:paraId="15C085AB">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致 (采购人)：_________________________________ </w:t>
      </w:r>
    </w:p>
    <w:p w14:paraId="15D4A7AC">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供应商名称： _________________________________</w:t>
      </w:r>
    </w:p>
    <w:p w14:paraId="1A312DF4">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统一社会信用代码：_________________________________ </w:t>
      </w:r>
    </w:p>
    <w:p w14:paraId="6BBCB385">
      <w:pPr>
        <w:widowControl/>
        <w:spacing w:line="360" w:lineRule="auto"/>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供应商地址：_________________________________</w:t>
      </w:r>
    </w:p>
    <w:p w14:paraId="413FD2E7">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w:t>
      </w:r>
    </w:p>
    <w:p w14:paraId="488ABCD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一、我单位具有有效的营业执照（三证合一）</w:t>
      </w:r>
    </w:p>
    <w:p w14:paraId="0D7A49B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二、我单位符合《中华人民共和国政府采购法》第二十二条规定的条件： </w:t>
      </w:r>
    </w:p>
    <w:p w14:paraId="27699B6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1.我单位具有符合采购文件资格要求的独立承担民事责任的能力。 </w:t>
      </w:r>
    </w:p>
    <w:p w14:paraId="197BE702">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2.我单位具有符合采购文件资格要求的财务状况报告。 </w:t>
      </w:r>
    </w:p>
    <w:p w14:paraId="415A05BA">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3.我单位具有符合采购文件资格要求的依法缴纳税收和社会保障记录的良好记录。 </w:t>
      </w:r>
    </w:p>
    <w:p w14:paraId="359A8DC8">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4.我单位具有符合采购文件资格要求的履行合同所必需的设备和专业技术能力。 </w:t>
      </w:r>
    </w:p>
    <w:p w14:paraId="053E0A00">
      <w:pPr>
        <w:widowControl/>
        <w:spacing w:line="360" w:lineRule="auto"/>
        <w:ind w:firstLine="480" w:firstLineChars="200"/>
        <w:jc w:val="lef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5.我单位参加政府采购活动前三年内，在经营活动中没有重大违法记录。 </w:t>
      </w:r>
    </w:p>
    <w:p w14:paraId="334910C7">
      <w:pPr>
        <w:pStyle w:val="3"/>
        <w:spacing w:line="400" w:lineRule="exact"/>
        <w:ind w:firstLine="482" w:firstLineChars="200"/>
        <w:rPr>
          <w:rFonts w:hint="eastAsia" w:ascii="宋体" w:hAnsi="宋体"/>
          <w:color w:val="000000" w:themeColor="text1"/>
          <w:sz w:val="24"/>
          <w:szCs w:val="21"/>
          <w:highlight w:val="none"/>
          <w14:textFill>
            <w14:solidFill>
              <w14:schemeClr w14:val="tx1"/>
            </w14:solidFill>
          </w14:textFill>
        </w:rPr>
      </w:pPr>
      <w:bookmarkStart w:id="37" w:name="_Toc7407"/>
      <w:r>
        <w:rPr>
          <w:rFonts w:hint="eastAsia" w:ascii="宋体" w:hAnsi="宋体"/>
          <w:color w:val="000000" w:themeColor="text1"/>
          <w:sz w:val="24"/>
          <w:szCs w:val="21"/>
          <w:highlight w:val="none"/>
          <w14:textFill>
            <w14:solidFill>
              <w14:schemeClr w14:val="tx1"/>
            </w14:solidFill>
          </w14:textFill>
        </w:rPr>
        <w:t>若我单位承诺不实，自愿承担提供虚假材料谋取中标、成交的法律责任。</w:t>
      </w:r>
      <w:bookmarkEnd w:id="37"/>
      <w:r>
        <w:rPr>
          <w:rFonts w:hint="eastAsia" w:ascii="宋体" w:hAnsi="宋体"/>
          <w:color w:val="000000" w:themeColor="text1"/>
          <w:sz w:val="24"/>
          <w:szCs w:val="21"/>
          <w:highlight w:val="none"/>
          <w14:textFill>
            <w14:solidFill>
              <w14:schemeClr w14:val="tx1"/>
            </w14:solidFill>
          </w14:textFill>
        </w:rPr>
        <w:t xml:space="preserve"> </w:t>
      </w:r>
    </w:p>
    <w:p w14:paraId="15156907">
      <w:pPr>
        <w:rPr>
          <w:color w:val="000000" w:themeColor="text1"/>
          <w:highlight w:val="none"/>
          <w14:textFill>
            <w14:solidFill>
              <w14:schemeClr w14:val="tx1"/>
            </w14:solidFill>
          </w14:textFill>
        </w:rPr>
      </w:pPr>
    </w:p>
    <w:p w14:paraId="716AF700">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承诺供应商（全称并加盖公章）：__________________ </w:t>
      </w:r>
    </w:p>
    <w:p w14:paraId="2F92A374">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法定代表人或授权代表(签字或盖章)：__________________ </w:t>
      </w:r>
    </w:p>
    <w:p w14:paraId="279554B6">
      <w:pPr>
        <w:widowControl/>
        <w:spacing w:line="480" w:lineRule="exact"/>
        <w:jc w:val="right"/>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日期：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39E945A9">
      <w:pPr>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p>
    <w:p w14:paraId="6935071E">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附件5：</w:t>
      </w:r>
    </w:p>
    <w:p w14:paraId="325F0096">
      <w:pPr>
        <w:spacing w:line="360" w:lineRule="auto"/>
        <w:ind w:firstLine="643" w:firstLineChars="200"/>
        <w:jc w:val="center"/>
        <w:rPr>
          <w:b/>
          <w:color w:val="000000" w:themeColor="text1"/>
          <w:sz w:val="32"/>
          <w:szCs w:val="32"/>
          <w:highlight w:val="none"/>
          <w14:textFill>
            <w14:solidFill>
              <w14:schemeClr w14:val="tx1"/>
            </w14:solidFill>
          </w14:textFill>
        </w:rPr>
      </w:pPr>
    </w:p>
    <w:p w14:paraId="01A6498C">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供应商的服务承诺及优惠承诺</w:t>
      </w:r>
    </w:p>
    <w:p w14:paraId="6360252C">
      <w:pPr>
        <w:widowControl/>
        <w:spacing w:line="360" w:lineRule="auto"/>
        <w:jc w:val="left"/>
        <w:rPr>
          <w:rFonts w:hint="eastAsia" w:ascii="宋体" w:hAnsi="宋体"/>
          <w:color w:val="000000" w:themeColor="text1"/>
          <w:kern w:val="0"/>
          <w:sz w:val="2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附件6：</w:t>
      </w:r>
    </w:p>
    <w:p w14:paraId="7A7EF45B">
      <w:pPr>
        <w:spacing w:line="360" w:lineRule="auto"/>
        <w:ind w:firstLine="643" w:firstLineChars="200"/>
        <w:jc w:val="center"/>
        <w:rPr>
          <w:b/>
          <w:color w:val="000000" w:themeColor="text1"/>
          <w:sz w:val="32"/>
          <w:szCs w:val="32"/>
          <w:highlight w:val="none"/>
          <w14:textFill>
            <w14:solidFill>
              <w14:schemeClr w14:val="tx1"/>
            </w14:solidFill>
          </w14:textFill>
        </w:rPr>
      </w:pPr>
    </w:p>
    <w:p w14:paraId="73713786">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供应商所投产品属于政府采购清单规定的节能环保产品的证明材料</w:t>
      </w:r>
    </w:p>
    <w:p w14:paraId="596C023E">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（如有）</w:t>
      </w:r>
    </w:p>
    <w:p w14:paraId="1F9EFA63">
      <w:pPr>
        <w:widowControl/>
        <w:spacing w:line="360" w:lineRule="auto"/>
        <w:jc w:val="left"/>
        <w:rPr>
          <w:b/>
          <w:color w:val="000000" w:themeColor="text1"/>
          <w:sz w:val="44"/>
          <w:szCs w:val="44"/>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附件7：</w:t>
      </w:r>
    </w:p>
    <w:p w14:paraId="30F87717">
      <w:pPr>
        <w:spacing w:line="360" w:lineRule="auto"/>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投标承诺函</w:t>
      </w:r>
    </w:p>
    <w:p w14:paraId="46FD8000">
      <w:pPr>
        <w:widowControl/>
        <w:tabs>
          <w:tab w:val="left" w:pos="735"/>
        </w:tabs>
        <w:spacing w:line="600" w:lineRule="atLeast"/>
        <w:rPr>
          <w:rFonts w:hint="eastAsia" w:ascii="宋体" w:hAnsi="宋体"/>
          <w:b/>
          <w:color w:val="000000" w:themeColor="text1"/>
          <w:sz w:val="28"/>
          <w:szCs w:val="28"/>
          <w:highlight w:val="none"/>
          <w14:textFill>
            <w14:solidFill>
              <w14:schemeClr w14:val="tx1"/>
            </w14:solidFill>
          </w14:textFill>
        </w:rPr>
      </w:pPr>
    </w:p>
    <w:p w14:paraId="0624674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项目投标行为做出承诺，保证所提交材料的真实性。</w:t>
      </w:r>
    </w:p>
    <w:p w14:paraId="3D99E7A1">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我单位承诺：</w:t>
      </w:r>
    </w:p>
    <w:p w14:paraId="5457DC1C">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，我单位不得要求退出竞标或者修改响应性文件且</w:t>
      </w:r>
      <w:r>
        <w:rPr>
          <w:rFonts w:ascii="宋体" w:hAnsi="宋体"/>
          <w:color w:val="000000" w:themeColor="text1"/>
          <w:sz w:val="24"/>
          <w:highlight w:val="none"/>
          <w14:textFill>
            <w14:solidFill>
              <w14:schemeClr w14:val="tx1"/>
            </w14:solidFill>
          </w14:textFill>
        </w:rPr>
        <w:t>对递交的</w:t>
      </w:r>
      <w:r>
        <w:rPr>
          <w:rFonts w:hint="eastAsia" w:ascii="宋体" w:hAnsi="宋体"/>
          <w:color w:val="000000" w:themeColor="text1"/>
          <w:sz w:val="24"/>
          <w:highlight w:val="none"/>
          <w14:textFill>
            <w14:solidFill>
              <w14:schemeClr w14:val="tx1"/>
            </w14:solidFill>
          </w14:textFill>
        </w:rPr>
        <w:t>响应性</w:t>
      </w:r>
      <w:r>
        <w:rPr>
          <w:rFonts w:ascii="宋体" w:hAnsi="宋体"/>
          <w:color w:val="000000" w:themeColor="text1"/>
          <w:sz w:val="24"/>
          <w:highlight w:val="none"/>
          <w14:textFill>
            <w14:solidFill>
              <w14:schemeClr w14:val="tx1"/>
            </w14:solidFill>
          </w14:textFill>
        </w:rPr>
        <w:t>文件负责，受其约束。</w:t>
      </w:r>
    </w:p>
    <w:p w14:paraId="49A40918">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2、若我单位成交，在接到成交通知书后，除不可抗力因素外，及时按</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与采购人</w:t>
      </w:r>
      <w:r>
        <w:rPr>
          <w:rFonts w:ascii="宋体" w:hAnsi="宋体"/>
          <w:color w:val="000000" w:themeColor="text1"/>
          <w:sz w:val="24"/>
          <w:highlight w:val="none"/>
          <w14:textFill>
            <w14:solidFill>
              <w14:schemeClr w14:val="tx1"/>
            </w14:solidFill>
          </w14:textFill>
        </w:rPr>
        <w:t>签订合同</w:t>
      </w:r>
      <w:r>
        <w:rPr>
          <w:rFonts w:hint="eastAsia" w:ascii="宋体" w:hAnsi="宋体"/>
          <w:color w:val="000000" w:themeColor="text1"/>
          <w:sz w:val="24"/>
          <w:highlight w:val="none"/>
          <w14:textFill>
            <w14:solidFill>
              <w14:schemeClr w14:val="tx1"/>
            </w14:solidFill>
          </w14:textFill>
        </w:rPr>
        <w:t>并认真履约。</w:t>
      </w:r>
    </w:p>
    <w:p w14:paraId="34FDBF47">
      <w:pPr>
        <w:spacing w:line="5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pacing w:line="52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6、不存在法律法规规定的其他违法违规行为。</w:t>
      </w:r>
    </w:p>
    <w:p w14:paraId="44685A73">
      <w:pPr>
        <w:rPr>
          <w:color w:val="000000" w:themeColor="text1"/>
          <w:highlight w:val="none"/>
          <w14:textFill>
            <w14:solidFill>
              <w14:schemeClr w14:val="tx1"/>
            </w14:solidFill>
          </w14:textFill>
        </w:rPr>
      </w:pPr>
    </w:p>
    <w:p w14:paraId="7262D3C1">
      <w:pPr>
        <w:pStyle w:val="14"/>
        <w:adjustRightInd w:val="0"/>
        <w:snapToGrid w:val="0"/>
        <w:spacing w:line="360" w:lineRule="auto"/>
        <w:ind w:firstLine="480" w:firstLineChars="200"/>
        <w:jc w:val="righ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供应商（盖章）： </w:t>
      </w:r>
    </w:p>
    <w:p w14:paraId="5462751E">
      <w:pPr>
        <w:pStyle w:val="14"/>
        <w:adjustRightInd w:val="0"/>
        <w:snapToGrid w:val="0"/>
        <w:spacing w:line="360" w:lineRule="auto"/>
        <w:ind w:firstLine="480" w:firstLineChars="200"/>
        <w:jc w:val="right"/>
        <w:rPr>
          <w:rFonts w:hAnsi="Calibri"/>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Calibri"/>
          <w:color w:val="000000" w:themeColor="text1"/>
          <w:sz w:val="24"/>
          <w:szCs w:val="24"/>
          <w:highlight w:val="none"/>
          <w14:textFill>
            <w14:solidFill>
              <w14:schemeClr w14:val="tx1"/>
            </w14:solidFill>
          </w14:textFill>
        </w:rPr>
        <w:t>年    月     日</w:t>
      </w:r>
    </w:p>
    <w:p w14:paraId="1AB18AC0">
      <w:pPr>
        <w:spacing w:line="520" w:lineRule="exact"/>
        <w:rPr>
          <w:rFonts w:hint="eastAsia" w:ascii="宋体" w:hAnsi="宋体"/>
          <w:b/>
          <w:color w:val="000000" w:themeColor="text1"/>
          <w:sz w:val="28"/>
          <w:szCs w:val="28"/>
          <w:highlight w:val="none"/>
          <w14:textFill>
            <w14:solidFill>
              <w14:schemeClr w14:val="tx1"/>
            </w14:solidFill>
          </w14:textFill>
        </w:rPr>
      </w:pPr>
    </w:p>
    <w:p w14:paraId="57242FA2">
      <w:pPr>
        <w:spacing w:line="520" w:lineRule="exact"/>
        <w:rPr>
          <w:rFonts w:hint="eastAsia" w:ascii="宋体" w:hAnsi="宋体"/>
          <w:b/>
          <w:color w:val="000000" w:themeColor="text1"/>
          <w:sz w:val="28"/>
          <w:szCs w:val="28"/>
          <w:highlight w:val="none"/>
          <w14:textFill>
            <w14:solidFill>
              <w14:schemeClr w14:val="tx1"/>
            </w14:solidFill>
          </w14:textFill>
        </w:rPr>
      </w:pPr>
    </w:p>
    <w:p w14:paraId="6033F037">
      <w:pPr>
        <w:spacing w:line="520" w:lineRule="exact"/>
        <w:rPr>
          <w:b/>
          <w:color w:val="000000" w:themeColor="text1"/>
          <w:sz w:val="44"/>
          <w:szCs w:val="4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附件8：</w:t>
      </w:r>
      <w:r>
        <w:rPr>
          <w:rFonts w:hint="eastAsia" w:ascii="宋体" w:hAnsi="宋体"/>
          <w:color w:val="000000" w:themeColor="text1"/>
          <w:sz w:val="24"/>
          <w:highlight w:val="none"/>
          <w14:textFill>
            <w14:solidFill>
              <w14:schemeClr w14:val="tx1"/>
            </w14:solidFill>
          </w14:textFill>
        </w:rPr>
        <w:t xml:space="preserve">    </w:t>
      </w:r>
    </w:p>
    <w:p w14:paraId="1535B0EE">
      <w:pPr>
        <w:pStyle w:val="10"/>
        <w:spacing w:before="254" w:line="225" w:lineRule="auto"/>
        <w:ind w:left="2844"/>
        <w:rPr>
          <w:b/>
          <w:bCs/>
          <w:color w:val="auto"/>
          <w:spacing w:val="3"/>
          <w:highlight w:val="none"/>
        </w:rPr>
      </w:pPr>
    </w:p>
    <w:p w14:paraId="03F0A59A">
      <w:pPr>
        <w:pStyle w:val="10"/>
        <w:spacing w:before="254" w:line="225" w:lineRule="auto"/>
        <w:ind w:left="2844"/>
        <w:rPr>
          <w:rFonts w:hint="eastAsia" w:ascii="Book Antiqua" w:hAnsi="Book Antiqua" w:eastAsia="宋体" w:cs="Times New Roman"/>
          <w:b/>
          <w:bCs/>
          <w:color w:val="000000" w:themeColor="text1"/>
          <w:kern w:val="2"/>
          <w:sz w:val="28"/>
          <w:szCs w:val="28"/>
          <w:highlight w:val="none"/>
          <w:lang w:val="en-US" w:eastAsia="zh-CN" w:bidi="ar-SA"/>
          <w14:textFill>
            <w14:solidFill>
              <w14:schemeClr w14:val="tx1"/>
            </w14:solidFill>
          </w14:textFill>
        </w:rPr>
      </w:pPr>
      <w:r>
        <w:rPr>
          <w:rFonts w:hint="eastAsia" w:ascii="Book Antiqua" w:hAnsi="Book Antiqua" w:eastAsia="宋体" w:cs="Times New Roman"/>
          <w:b/>
          <w:bCs/>
          <w:color w:val="000000" w:themeColor="text1"/>
          <w:kern w:val="2"/>
          <w:sz w:val="28"/>
          <w:szCs w:val="28"/>
          <w:highlight w:val="none"/>
          <w:lang w:val="en-US" w:eastAsia="zh-CN" w:bidi="ar-SA"/>
          <w14:textFill>
            <w14:solidFill>
              <w14:schemeClr w14:val="tx1"/>
            </w14:solidFill>
          </w14:textFill>
        </w:rPr>
        <w:t>中小企业声明函</w:t>
      </w:r>
    </w:p>
    <w:p w14:paraId="1D1BC813">
      <w:pPr>
        <w:pStyle w:val="10"/>
        <w:tabs>
          <w:tab w:val="left" w:pos="135"/>
        </w:tabs>
        <w:spacing w:before="213" w:line="355" w:lineRule="auto"/>
        <w:ind w:right="992" w:firstLine="490"/>
        <w:jc w:val="both"/>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本公司（联合体）郑重声明，根据《政府采购促进中小企业发展管理办  法》（财库﹝2020]46 号﹞的规定，本公司（联合体）参加（单位名称）的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ab/>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（项目名称）采购活动，工程的施工单位全部为符合政策要求的中小企业(或 者：服务全部由符合政策要求的中小企业承接）。相关企业（含联合体中的  中小企业、签订分包意向协议的中小企业）的具体情况如下：</w:t>
      </w:r>
    </w:p>
    <w:p w14:paraId="1332CBF2">
      <w:pPr>
        <w:pStyle w:val="10"/>
        <w:spacing w:before="35" w:line="351" w:lineRule="auto"/>
        <w:ind w:left="8" w:right="11" w:firstLine="498"/>
        <w:jc w:val="both"/>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1.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（标的名称）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，属于</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（采购文件中明确的所属行业）</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；承建（承接）企业为（企 业名称），从业人员</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人，营业收入为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万元，资产总额为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万元 ，属于（中型企业、小型企业、微型企业）；</w:t>
      </w:r>
    </w:p>
    <w:p w14:paraId="1073BD04">
      <w:pPr>
        <w:pStyle w:val="10"/>
        <w:spacing w:before="33" w:line="347" w:lineRule="auto"/>
        <w:ind w:left="14" w:right="927" w:firstLine="502"/>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以上企业，不属于大企业的分支机构，不存在控股股东为大企业的情形， 也不存在与大企业的负责人为同一人的情形。</w:t>
      </w:r>
    </w:p>
    <w:p w14:paraId="6C919776">
      <w:pPr>
        <w:pStyle w:val="10"/>
        <w:spacing w:before="34" w:line="219" w:lineRule="auto"/>
        <w:ind w:left="49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本企业对上述声明内容的真实性负责。如有虚假，将依法承担相应责任。</w:t>
      </w:r>
    </w:p>
    <w:p w14:paraId="3ABE0D08">
      <w:pPr>
        <w:spacing w:line="284"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456382AF">
      <w:pPr>
        <w:spacing w:line="285"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2E0E9D04">
      <w:pPr>
        <w:pStyle w:val="10"/>
        <w:spacing w:before="78" w:line="219" w:lineRule="auto"/>
        <w:ind w:left="3853"/>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企业名称（盖章）：</w:t>
      </w:r>
    </w:p>
    <w:p w14:paraId="052DBA0C">
      <w:pPr>
        <w:spacing w:line="285"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70BE75C4">
      <w:pPr>
        <w:spacing w:line="285" w:lineRule="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14:paraId="58E5563B">
      <w:pPr>
        <w:pStyle w:val="10"/>
        <w:spacing w:before="79" w:line="220" w:lineRule="auto"/>
        <w:ind w:left="4205"/>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 期：</w:t>
      </w:r>
    </w:p>
    <w:p w14:paraId="190C89A3">
      <w:pPr>
        <w:spacing w:line="333" w:lineRule="auto"/>
        <w:rPr>
          <w:rFonts w:ascii="Arial"/>
          <w:color w:val="auto"/>
          <w:sz w:val="21"/>
          <w:highlight w:val="none"/>
        </w:rPr>
      </w:pPr>
    </w:p>
    <w:p w14:paraId="05F18D89">
      <w:pPr>
        <w:pStyle w:val="10"/>
        <w:spacing w:before="79" w:line="230" w:lineRule="auto"/>
        <w:ind w:left="11" w:firstLine="16"/>
        <w:rPr>
          <w:b/>
          <w:bCs/>
          <w:color w:val="auto"/>
          <w:sz w:val="24"/>
          <w:szCs w:val="24"/>
          <w:highlight w:val="none"/>
        </w:rPr>
      </w:pPr>
      <w:r>
        <w:rPr>
          <w:rFonts w:ascii="Times New Roman" w:hAnsi="Times New Roman" w:eastAsia="Times New Roman" w:cs="Times New Roman"/>
          <w:b/>
          <w:bCs/>
          <w:color w:val="auto"/>
          <w:spacing w:val="-3"/>
          <w:sz w:val="24"/>
          <w:szCs w:val="24"/>
          <w:highlight w:val="none"/>
        </w:rPr>
        <w:t xml:space="preserve">1  </w:t>
      </w:r>
      <w:r>
        <w:rPr>
          <w:b/>
          <w:bCs/>
          <w:color w:val="auto"/>
          <w:spacing w:val="-3"/>
          <w:sz w:val="24"/>
          <w:szCs w:val="24"/>
          <w:highlight w:val="none"/>
        </w:rPr>
        <w:t>、从业人员、营业收入、资产总额填报上一年度数据，无上一年度数据的新成立企业</w:t>
      </w:r>
      <w:r>
        <w:rPr>
          <w:b/>
          <w:bCs/>
          <w:color w:val="auto"/>
          <w:spacing w:val="4"/>
          <w:sz w:val="24"/>
          <w:szCs w:val="24"/>
          <w:highlight w:val="none"/>
        </w:rPr>
        <w:t xml:space="preserve"> </w:t>
      </w:r>
      <w:r>
        <w:rPr>
          <w:b/>
          <w:bCs/>
          <w:color w:val="auto"/>
          <w:spacing w:val="-3"/>
          <w:sz w:val="24"/>
          <w:szCs w:val="24"/>
          <w:highlight w:val="none"/>
        </w:rPr>
        <w:t>可不填报。</w:t>
      </w:r>
    </w:p>
    <w:p w14:paraId="2CF3B2F4">
      <w:pPr>
        <w:pStyle w:val="10"/>
        <w:spacing w:before="26" w:line="219" w:lineRule="auto"/>
        <w:ind w:left="12"/>
        <w:rPr>
          <w:color w:val="auto"/>
          <w:sz w:val="24"/>
          <w:szCs w:val="24"/>
          <w:highlight w:val="none"/>
        </w:rPr>
        <w:sectPr>
          <w:footerReference r:id="rId8" w:type="default"/>
          <w:pgSz w:w="11907" w:h="16839"/>
          <w:pgMar w:top="1431" w:right="1456" w:bottom="1469" w:left="1416" w:header="0" w:footer="1292" w:gutter="0"/>
          <w:pgNumType w:fmt="decimal"/>
          <w:cols w:space="720" w:num="1"/>
        </w:sectPr>
      </w:pPr>
      <w:r>
        <w:rPr>
          <w:b/>
          <w:bCs/>
          <w:color w:val="auto"/>
          <w:spacing w:val="-1"/>
          <w:sz w:val="24"/>
          <w:szCs w:val="24"/>
          <w:highlight w:val="none"/>
        </w:rPr>
        <w:t>2、本项目标的物所属行业：</w:t>
      </w:r>
      <w:r>
        <w:rPr>
          <w:rFonts w:hint="eastAsia"/>
          <w:b/>
          <w:bCs/>
          <w:color w:val="auto"/>
          <w:spacing w:val="-1"/>
          <w:sz w:val="24"/>
          <w:szCs w:val="24"/>
          <w:highlight w:val="none"/>
          <w:lang w:eastAsia="zh-CN"/>
        </w:rPr>
        <w:t>批发业</w:t>
      </w:r>
    </w:p>
    <w:p w14:paraId="177B7879">
      <w:pPr>
        <w:widowControl/>
        <w:tabs>
          <w:tab w:val="left" w:pos="735"/>
        </w:tabs>
        <w:spacing w:line="360" w:lineRule="auto"/>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附件9：</w:t>
      </w:r>
    </w:p>
    <w:p w14:paraId="76C9657D">
      <w:pPr>
        <w:spacing w:line="360" w:lineRule="auto"/>
        <w:ind w:firstLine="562" w:firstLineChars="200"/>
        <w:jc w:val="center"/>
        <w:rPr>
          <w:b/>
          <w:bCs/>
          <w:color w:val="000000" w:themeColor="text1"/>
          <w:sz w:val="28"/>
          <w:szCs w:val="28"/>
          <w:highlight w:val="none"/>
          <w14:textFill>
            <w14:solidFill>
              <w14:schemeClr w14:val="tx1"/>
            </w14:solidFill>
          </w14:textFill>
        </w:rPr>
      </w:pPr>
      <w:bookmarkStart w:id="38" w:name="_Toc30170"/>
      <w:bookmarkStart w:id="39" w:name="_Toc14292"/>
    </w:p>
    <w:p w14:paraId="27475AB5">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残疾人福利性单位声明函（如有）</w:t>
      </w:r>
    </w:p>
    <w:bookmarkEnd w:id="38"/>
    <w:bookmarkEnd w:id="39"/>
    <w:p w14:paraId="3EB21367">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spacing w:val="6"/>
          <w:sz w:val="24"/>
        </w:rPr>
        <w:t>单位的</w:t>
      </w:r>
      <w:r>
        <w:rPr>
          <w:rFonts w:hint="eastAsia" w:ascii="宋体" w:hAnsi="宋体"/>
          <w:spacing w:val="6"/>
          <w:sz w:val="24"/>
          <w:u w:val="single"/>
        </w:rPr>
        <w:t xml:space="preserve">                      </w:t>
      </w:r>
      <w:r>
        <w:rPr>
          <w:rFonts w:hint="eastAsia" w:ascii="宋体" w:hAnsi="宋体"/>
          <w:spacing w:val="6"/>
          <w:sz w:val="24"/>
        </w:rPr>
        <w:t>项目采购活动提供本单位的服务，或者提供其他残疾人福利性单位的服务。</w:t>
      </w:r>
    </w:p>
    <w:p w14:paraId="39045F66">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4F57F827">
      <w:pPr>
        <w:spacing w:line="588" w:lineRule="exact"/>
        <w:ind w:firstLine="504" w:firstLineChars="200"/>
        <w:rPr>
          <w:rFonts w:ascii="宋体" w:hAnsi="宋体"/>
          <w:spacing w:val="6"/>
          <w:sz w:val="24"/>
        </w:rPr>
      </w:pPr>
    </w:p>
    <w:p w14:paraId="4F0C32EF">
      <w:pPr>
        <w:spacing w:line="588" w:lineRule="exact"/>
        <w:ind w:firstLine="504" w:firstLineChars="200"/>
        <w:rPr>
          <w:rFonts w:ascii="宋体" w:hAnsi="宋体"/>
          <w:spacing w:val="6"/>
          <w:sz w:val="24"/>
        </w:rPr>
      </w:pPr>
    </w:p>
    <w:p w14:paraId="170EFD83">
      <w:pPr>
        <w:spacing w:line="360" w:lineRule="auto"/>
        <w:rPr>
          <w:rFonts w:ascii="宋体" w:hAnsi="宋体"/>
          <w:sz w:val="24"/>
          <w:u w:val="single"/>
        </w:rPr>
      </w:pPr>
      <w:r>
        <w:rPr>
          <w:rFonts w:hint="eastAsia" w:ascii="宋体" w:hAnsi="宋体"/>
          <w:spacing w:val="6"/>
          <w:sz w:val="24"/>
        </w:rPr>
        <w:t xml:space="preserve">               </w:t>
      </w:r>
      <w:r>
        <w:rPr>
          <w:rFonts w:hint="eastAsia" w:ascii="宋体" w:hAnsi="宋体"/>
          <w:sz w:val="24"/>
        </w:rPr>
        <w:t xml:space="preserve">  供应商名称</w:t>
      </w:r>
      <w:r>
        <w:rPr>
          <w:rFonts w:hint="eastAsia" w:ascii="宋体" w:hAnsi="宋体" w:cs="宋体"/>
          <w:sz w:val="24"/>
        </w:rPr>
        <w:t>：</w:t>
      </w:r>
      <w:r>
        <w:rPr>
          <w:rFonts w:hint="eastAsia" w:ascii="宋体" w:hAnsi="宋体"/>
          <w:sz w:val="24"/>
          <w:u w:val="single"/>
        </w:rPr>
        <w:t xml:space="preserve">                        </w:t>
      </w:r>
      <w:r>
        <w:rPr>
          <w:rFonts w:hint="eastAsia" w:ascii="宋体" w:hAnsi="宋体"/>
          <w:sz w:val="24"/>
        </w:rPr>
        <w:t>（单位盖章）</w:t>
      </w:r>
    </w:p>
    <w:p w14:paraId="0FE1288D">
      <w:pPr>
        <w:spacing w:line="360" w:lineRule="auto"/>
        <w:ind w:firstLine="4440" w:firstLineChars="1850"/>
        <w:rPr>
          <w:b/>
          <w:bCs/>
          <w:sz w:val="22"/>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C6CBD">
      <w:pPr>
        <w:tabs>
          <w:tab w:val="left" w:pos="4860"/>
        </w:tabs>
        <w:spacing w:line="588" w:lineRule="exact"/>
        <w:ind w:right="1560" w:firstLine="504" w:firstLineChars="200"/>
        <w:jc w:val="center"/>
        <w:rPr>
          <w:rFonts w:ascii="宋体" w:hAnsi="宋体"/>
          <w:spacing w:val="6"/>
          <w:sz w:val="24"/>
        </w:rPr>
      </w:pPr>
    </w:p>
    <w:p w14:paraId="22CB23AE">
      <w:pPr>
        <w:pStyle w:val="22"/>
        <w:widowControl w:val="0"/>
        <w:spacing w:before="0" w:beforeAutospacing="0" w:after="0" w:afterAutospacing="0" w:line="546" w:lineRule="exact"/>
        <w:jc w:val="both"/>
        <w:rPr>
          <w:rFonts w:cs="Times New Roman"/>
          <w:kern w:val="2"/>
        </w:rPr>
      </w:pPr>
    </w:p>
    <w:p w14:paraId="3220DE31">
      <w:pPr>
        <w:pStyle w:val="22"/>
        <w:widowControl w:val="0"/>
        <w:spacing w:before="0" w:beforeAutospacing="0" w:after="0" w:afterAutospacing="0" w:line="546" w:lineRule="exact"/>
        <w:ind w:firstLine="480" w:firstLineChars="200"/>
        <w:jc w:val="both"/>
        <w:rPr>
          <w:rFonts w:cs="Times New Roman"/>
          <w:kern w:val="2"/>
        </w:rPr>
      </w:pPr>
      <w:r>
        <w:rPr>
          <w:rFonts w:hint="eastAsia" w:cs="Times New Roman"/>
          <w:kern w:val="2"/>
        </w:rPr>
        <w:t>注：根据企业自身情况，填写此表；</w:t>
      </w:r>
    </w:p>
    <w:p w14:paraId="776F939D">
      <w:pPr>
        <w:widowControl/>
        <w:tabs>
          <w:tab w:val="left" w:pos="735"/>
        </w:tabs>
        <w:spacing w:line="360" w:lineRule="auto"/>
        <w:rPr>
          <w:b/>
          <w:color w:val="000000" w:themeColor="text1"/>
          <w:sz w:val="32"/>
          <w:szCs w:val="32"/>
          <w:highlight w:val="none"/>
          <w14:textFill>
            <w14:solidFill>
              <w14:schemeClr w14:val="tx1"/>
            </w14:solidFill>
          </w14:textFill>
        </w:rPr>
      </w:pPr>
      <w:r>
        <w:rPr>
          <w:rFonts w:hint="eastAsia"/>
        </w:rPr>
        <w:br w:type="page"/>
      </w:r>
      <w:r>
        <w:rPr>
          <w:rFonts w:hint="eastAsia" w:ascii="宋体" w:hAnsi="宋体"/>
          <w:b/>
          <w:color w:val="000000" w:themeColor="text1"/>
          <w:sz w:val="28"/>
          <w:szCs w:val="28"/>
          <w:highlight w:val="none"/>
          <w14:textFill>
            <w14:solidFill>
              <w14:schemeClr w14:val="tx1"/>
            </w14:solidFill>
          </w14:textFill>
        </w:rPr>
        <w:t>附件10：</w:t>
      </w:r>
    </w:p>
    <w:p w14:paraId="0E7EE147">
      <w:pPr>
        <w:spacing w:line="360" w:lineRule="auto"/>
        <w:ind w:firstLine="643" w:firstLineChars="200"/>
        <w:jc w:val="center"/>
        <w:rPr>
          <w:b/>
          <w:color w:val="000000" w:themeColor="text1"/>
          <w:sz w:val="32"/>
          <w:szCs w:val="32"/>
          <w:highlight w:val="none"/>
          <w14:textFill>
            <w14:solidFill>
              <w14:schemeClr w14:val="tx1"/>
            </w14:solidFill>
          </w14:textFill>
        </w:rPr>
      </w:pPr>
    </w:p>
    <w:p w14:paraId="3495225B">
      <w:pPr>
        <w:spacing w:line="360" w:lineRule="auto"/>
        <w:ind w:firstLine="562" w:firstLineChars="200"/>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竞争性谈判文件要求的或供应商认为需要加以说明的其他内容</w:t>
      </w:r>
    </w:p>
    <w:p w14:paraId="5853D46C">
      <w:pPr>
        <w:spacing w:line="360" w:lineRule="auto"/>
        <w:ind w:firstLine="482" w:firstLineChars="200"/>
        <w:jc w:val="both"/>
        <w:rPr>
          <w:b/>
          <w:bCs/>
          <w:color w:val="000000" w:themeColor="text1"/>
          <w:sz w:val="28"/>
          <w:szCs w:val="28"/>
          <w:highlight w:val="none"/>
          <w14:textFill>
            <w14:solidFill>
              <w14:schemeClr w14:val="tx1"/>
            </w14:solidFill>
          </w14:textFill>
        </w:rPr>
      </w:pP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针对质保期内的质量问题</w:t>
      </w:r>
      <w:r>
        <w:rPr>
          <w:rFonts w:hint="eastAsia" w:ascii="宋体" w:hAnsi="宋体" w:cs="宋体"/>
          <w:b/>
          <w:bCs/>
          <w:color w:val="auto"/>
          <w:kern w:val="2"/>
          <w:sz w:val="24"/>
          <w:szCs w:val="24"/>
          <w:lang w:val="en-US" w:eastAsia="zh-CN" w:bidi="ar-SA"/>
        </w:rPr>
        <w:t>的</w:t>
      </w:r>
      <w:r>
        <w:rPr>
          <w:rFonts w:hint="eastAsia" w:ascii="宋体" w:hAnsi="宋体" w:eastAsia="宋体" w:cs="宋体"/>
          <w:b/>
          <w:bCs/>
          <w:color w:val="auto"/>
          <w:kern w:val="2"/>
          <w:sz w:val="24"/>
          <w:szCs w:val="24"/>
          <w:lang w:val="en-US" w:eastAsia="zh-CN" w:bidi="ar-SA"/>
        </w:rPr>
        <w:t>承诺函</w:t>
      </w:r>
      <w:r>
        <w:rPr>
          <w:rFonts w:hint="eastAsia"/>
          <w:b/>
          <w:bCs/>
          <w:color w:val="000000" w:themeColor="text1"/>
          <w:sz w:val="28"/>
          <w:szCs w:val="28"/>
          <w:highlight w:val="none"/>
          <w14:textFill>
            <w14:solidFill>
              <w14:schemeClr w14:val="tx1"/>
            </w14:solidFill>
          </w14:textFill>
        </w:rPr>
        <w:br w:type="page"/>
      </w:r>
    </w:p>
    <w:p w14:paraId="23092B7F">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0" w:name="_Toc21790"/>
      <w:r>
        <w:rPr>
          <w:rFonts w:hint="eastAsia" w:ascii="微软雅黑" w:hAnsi="微软雅黑" w:eastAsia="微软雅黑" w:cs="微软雅黑"/>
          <w:b w:val="0"/>
          <w:bCs w:val="0"/>
          <w:color w:val="000000" w:themeColor="text1"/>
          <w:highlight w:val="none"/>
          <w14:textFill>
            <w14:solidFill>
              <w14:schemeClr w14:val="tx1"/>
            </w14:solidFill>
          </w14:textFill>
        </w:rPr>
        <w:t>优化和提升政府采购政策</w:t>
      </w:r>
      <w:bookmarkEnd w:id="40"/>
    </w:p>
    <w:p w14:paraId="31D66F12">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一、全面取消采购文件费用和投标保证金费用。</w:t>
      </w:r>
    </w:p>
    <w:p w14:paraId="0A6FC768">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二、免收履约保证金。确因项目需要的，应以保函等非现金形式收取，比例不得超过合同金额的</w:t>
      </w:r>
      <w:r>
        <w:rPr>
          <w:rFonts w:hint="eastAsia" w:ascii="仿宋_GB2312" w:hAnsi="宋体" w:eastAsia="仿宋_GB2312" w:cs="宋体"/>
          <w:color w:val="000000" w:themeColor="text1"/>
          <w:sz w:val="28"/>
          <w:szCs w:val="28"/>
          <w:highlight w:val="none"/>
          <w:u w:val="single"/>
          <w14:textFill>
            <w14:solidFill>
              <w14:schemeClr w14:val="tx1"/>
            </w14:solidFill>
          </w14:textFill>
        </w:rPr>
        <w:t>6%</w:t>
      </w:r>
      <w:r>
        <w:rPr>
          <w:rFonts w:hint="eastAsia" w:ascii="仿宋_GB2312" w:hAnsi="宋体" w:eastAsia="仿宋_GB2312" w:cs="宋体"/>
          <w:color w:val="000000" w:themeColor="text1"/>
          <w:sz w:val="28"/>
          <w:szCs w:val="28"/>
          <w:highlight w:val="none"/>
          <w14:textFill>
            <w14:solidFill>
              <w14:schemeClr w14:val="tx1"/>
            </w14:solidFill>
          </w14:textFill>
        </w:rPr>
        <w:t>，并按约定的时间和条件退还。</w:t>
      </w:r>
    </w:p>
    <w:p w14:paraId="7D41874A">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三、评标结果确认时限。自评标（评审）结束后应2个工作日内确定中标（成交）供应商，5个工作日内公告结果，同时发送中标（成交）通知书。</w:t>
      </w:r>
    </w:p>
    <w:p w14:paraId="55F03005">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四、合同签订时限。自中标（成交）通知书发出之日起</w:t>
      </w:r>
      <w:r>
        <w:rPr>
          <w:rFonts w:hint="eastAsia" w:ascii="仿宋_GB2312" w:hAnsi="宋体" w:eastAsia="仿宋_GB2312" w:cs="宋体"/>
          <w:color w:val="000000" w:themeColor="text1"/>
          <w:sz w:val="28"/>
          <w:szCs w:val="28"/>
          <w:highlight w:val="none"/>
          <w:u w:val="single"/>
          <w14:textFill>
            <w14:solidFill>
              <w14:schemeClr w14:val="tx1"/>
            </w14:solidFill>
          </w14:textFill>
        </w:rPr>
        <w:t>15</w:t>
      </w:r>
      <w:r>
        <w:rPr>
          <w:rFonts w:hint="eastAsia" w:ascii="仿宋_GB2312" w:hAnsi="宋体" w:eastAsia="仿宋_GB2312" w:cs="宋体"/>
          <w:color w:val="000000" w:themeColor="text1"/>
          <w:sz w:val="28"/>
          <w:szCs w:val="28"/>
          <w:highlight w:val="none"/>
          <w14:textFill>
            <w14:solidFill>
              <w14:schemeClr w14:val="tx1"/>
            </w14:solidFill>
          </w14:textFill>
        </w:rPr>
        <w:t xml:space="preserve">日内，按照采购文件和投标（响应性）文件确定的事项签订政府采购合同。 </w:t>
      </w:r>
    </w:p>
    <w:p w14:paraId="7A6F1FAE">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五、合同公告和备案时限。自合同签订之日起2个工作日内。</w:t>
      </w:r>
    </w:p>
    <w:p w14:paraId="141F5DAF">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1259C5A3">
      <w:pPr>
        <w:shd w:val="clear" w:color="auto" w:fill="FFFFFF"/>
        <w:spacing w:line="360" w:lineRule="auto"/>
        <w:ind w:firstLine="560" w:firstLineChars="200"/>
        <w:rPr>
          <w:rFonts w:hint="eastAsia" w:ascii="仿宋_GB2312" w:hAnsi="宋体" w:eastAsia="仿宋_GB2312" w:cs="宋体"/>
          <w:color w:val="000000" w:themeColor="text1"/>
          <w:sz w:val="28"/>
          <w:szCs w:val="28"/>
          <w:highlight w:val="none"/>
          <w14:textFill>
            <w14:solidFill>
              <w14:schemeClr w14:val="tx1"/>
            </w14:solidFill>
          </w14:textFill>
        </w:rPr>
      </w:pPr>
      <w:r>
        <w:rPr>
          <w:rFonts w:hint="eastAsia" w:ascii="仿宋_GB2312" w:hAnsi="宋体" w:eastAsia="仿宋_GB2312" w:cs="宋体"/>
          <w:color w:val="000000" w:themeColor="text1"/>
          <w:sz w:val="28"/>
          <w:szCs w:val="28"/>
          <w:highlight w:val="none"/>
          <w14:textFill>
            <w14:solidFill>
              <w14:schemeClr w14:val="tx1"/>
            </w14:solidFill>
          </w14:textFill>
        </w:rPr>
        <w:t>七、资金支付。按照合同约定的条件及时支付资金，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不得因机构变更、人员更替、政策调整等原因拒绝或延迟资金支付</w:t>
      </w:r>
      <w:r>
        <w:rPr>
          <w:rFonts w:hint="eastAsia" w:ascii="仿宋_GB2312" w:hAnsi="宋体" w:eastAsia="仿宋_GB2312" w:cs="宋体"/>
          <w:color w:val="000000" w:themeColor="text1"/>
          <w:sz w:val="28"/>
          <w:szCs w:val="28"/>
          <w:highlight w:val="none"/>
          <w14:textFill>
            <w14:solidFill>
              <w14:schemeClr w14:val="tx1"/>
            </w14:solidFill>
          </w14:textFill>
        </w:rPr>
        <w:t>。</w:t>
      </w:r>
    </w:p>
    <w:p w14:paraId="18FFC77F">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27951F57">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监督单位：博爱县财政局政府采购监督管理办公室</w:t>
      </w:r>
    </w:p>
    <w:p w14:paraId="1EE01C08">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监督电话：0391-8683273</w:t>
      </w:r>
    </w:p>
    <w:p w14:paraId="16A02711">
      <w:pPr>
        <w:shd w:val="clear" w:color="auto" w:fill="FFFFFF"/>
        <w:spacing w:line="360" w:lineRule="auto"/>
        <w:ind w:firstLine="560" w:firstLineChars="200"/>
        <w:rPr>
          <w:rFonts w:ascii="仿宋_GB2312" w:hAnsi="Arial" w:eastAsia="仿宋_GB2312" w:cs="Arial"/>
          <w:color w:val="000000" w:themeColor="text1"/>
          <w:sz w:val="28"/>
          <w:szCs w:val="28"/>
          <w:highlight w:val="none"/>
          <w:shd w:val="clear" w:color="auto" w:fill="FFFFFF"/>
          <w14:textFill>
            <w14:solidFill>
              <w14:schemeClr w14:val="tx1"/>
            </w14:solidFill>
          </w14:textFill>
        </w:rPr>
      </w:pPr>
      <w:r>
        <w:rPr>
          <w:rFonts w:hint="eastAsia" w:ascii="仿宋_GB2312" w:hAnsi="Arial" w:eastAsia="仿宋_GB2312" w:cs="Arial"/>
          <w:color w:val="000000" w:themeColor="text1"/>
          <w:sz w:val="28"/>
          <w:szCs w:val="28"/>
          <w:highlight w:val="none"/>
          <w:shd w:val="clear" w:color="auto" w:fill="FFFFFF"/>
          <w14:textFill>
            <w14:solidFill>
              <w14:schemeClr w14:val="tx1"/>
            </w14:solidFill>
          </w14:textFill>
        </w:rPr>
        <w:t>地址：博爱县发展大道188号机关综合办公楼主楼1213室</w:t>
      </w:r>
    </w:p>
    <w:p w14:paraId="19076795">
      <w:pPr>
        <w:spacing w:line="360" w:lineRule="auto"/>
        <w:ind w:firstLine="883" w:firstLineChars="200"/>
        <w:jc w:val="center"/>
        <w:rPr>
          <w:rFonts w:hint="eastAsia" w:ascii="宋体" w:hAnsi="宋体" w:cs="宋体"/>
          <w:b/>
          <w:color w:val="000000" w:themeColor="text1"/>
          <w:sz w:val="44"/>
          <w:szCs w:val="44"/>
          <w:highlight w:val="none"/>
          <w14:textFill>
            <w14:solidFill>
              <w14:schemeClr w14:val="tx1"/>
            </w14:solidFill>
          </w14:textFill>
        </w:rPr>
      </w:pPr>
    </w:p>
    <w:p w14:paraId="4C1D7FA4">
      <w:pPr>
        <w:pStyle w:val="48"/>
        <w:framePr w:wrap="around"/>
        <w:rPr>
          <w:rFonts w:hint="eastAsia" w:ascii="宋体" w:hAnsi="宋体" w:cs="宋体"/>
          <w:b/>
          <w:color w:val="000000" w:themeColor="text1"/>
          <w:sz w:val="44"/>
          <w:szCs w:val="44"/>
          <w:highlight w:val="none"/>
          <w14:textFill>
            <w14:solidFill>
              <w14:schemeClr w14:val="tx1"/>
            </w14:solidFill>
          </w14:textFill>
        </w:rPr>
      </w:pPr>
    </w:p>
    <w:p w14:paraId="22B69F7B">
      <w:pPr>
        <w:pStyle w:val="10"/>
        <w:ind w:firstLine="420"/>
        <w:rPr>
          <w:color w:val="000000" w:themeColor="text1"/>
          <w:highlight w:val="none"/>
          <w14:textFill>
            <w14:solidFill>
              <w14:schemeClr w14:val="tx1"/>
            </w14:solidFill>
          </w14:textFill>
        </w:rPr>
      </w:pPr>
    </w:p>
    <w:p w14:paraId="5310F08C">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1" w:name="_Toc11991"/>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政府采购合同融资政策</w:t>
      </w:r>
      <w:bookmarkEnd w:id="41"/>
    </w:p>
    <w:p w14:paraId="4BE913E9">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为充分发挥政府采购合同资金支付有保障的优势，</w:t>
      </w:r>
      <w:r>
        <w:rPr>
          <w:rFonts w:hint="eastAsia" w:ascii="仿宋_GB2312" w:eastAsia="仿宋_GB2312"/>
          <w:color w:val="000000" w:themeColor="text1"/>
          <w:sz w:val="30"/>
          <w:szCs w:val="30"/>
          <w:highlight w:val="none"/>
          <w14:textFill>
            <w14:solidFill>
              <w14:schemeClr w14:val="tx1"/>
            </w14:solidFill>
          </w14:textFill>
        </w:rPr>
        <w:t>进一步优化我市营商环境，针对中小微企业融资难、融资贵问题，焦作市财政局联合有关部门推出了</w:t>
      </w:r>
      <w:r>
        <w:rPr>
          <w:rFonts w:ascii="仿宋_GB2312" w:eastAsia="仿宋_GB2312"/>
          <w:color w:val="000000" w:themeColor="text1"/>
          <w:sz w:val="30"/>
          <w:szCs w:val="30"/>
          <w:highlight w:val="none"/>
          <w14:textFill>
            <w14:solidFill>
              <w14:schemeClr w14:val="tx1"/>
            </w14:solidFill>
          </w14:textFill>
        </w:rPr>
        <w:t>以政府采购</w:t>
      </w:r>
      <w:r>
        <w:rPr>
          <w:rFonts w:hint="eastAsia" w:ascii="仿宋_GB2312" w:eastAsia="仿宋_GB2312"/>
          <w:color w:val="000000" w:themeColor="text1"/>
          <w:sz w:val="30"/>
          <w:szCs w:val="30"/>
          <w:highlight w:val="none"/>
          <w14:textFill>
            <w14:solidFill>
              <w14:schemeClr w14:val="tx1"/>
            </w14:solidFill>
          </w14:textFill>
        </w:rPr>
        <w:t>合同</w:t>
      </w:r>
      <w:r>
        <w:rPr>
          <w:rFonts w:ascii="仿宋_GB2312" w:eastAsia="仿宋_GB2312"/>
          <w:color w:val="000000" w:themeColor="text1"/>
          <w:sz w:val="30"/>
          <w:szCs w:val="30"/>
          <w:highlight w:val="none"/>
          <w14:textFill>
            <w14:solidFill>
              <w14:schemeClr w14:val="tx1"/>
            </w14:solidFill>
          </w14:textFill>
        </w:rPr>
        <w:t>预期支付能力为信用</w:t>
      </w:r>
      <w:r>
        <w:rPr>
          <w:rFonts w:hint="eastAsia" w:ascii="仿宋_GB2312" w:eastAsia="仿宋_GB2312"/>
          <w:color w:val="000000" w:themeColor="text1"/>
          <w:sz w:val="30"/>
          <w:szCs w:val="30"/>
          <w:highlight w:val="none"/>
          <w14:textFill>
            <w14:solidFill>
              <w14:schemeClr w14:val="tx1"/>
            </w14:solidFill>
          </w14:textFill>
        </w:rPr>
        <w:t>的融资政策。</w:t>
      </w:r>
    </w:p>
    <w:p w14:paraId="47AD9E72">
      <w:pPr>
        <w:spacing w:line="360" w:lineRule="auto"/>
        <w:ind w:firstLine="600" w:firstLineChars="200"/>
        <w:rPr>
          <w:rFonts w:hint="eastAsia" w:ascii="仿宋_GB2312" w:hAnsi="宋体" w:eastAsia="仿宋_GB2312" w:cs="宋体"/>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0"/>
          <w:szCs w:val="30"/>
          <w:highlight w:val="none"/>
          <w14:textFill>
            <w14:solidFill>
              <w14:schemeClr w14:val="tx1"/>
            </w14:solidFill>
          </w14:textFill>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000000" w:themeColor="text1"/>
          <w:sz w:val="30"/>
          <w:szCs w:val="30"/>
          <w:highlight w:val="none"/>
          <w14:textFill>
            <w14:solidFill>
              <w14:schemeClr w14:val="tx1"/>
            </w14:solidFill>
          </w14:textFill>
        </w:rPr>
        <w:t>无抵押、免担保、低利率的的</w:t>
      </w:r>
      <w:r>
        <w:rPr>
          <w:rFonts w:hint="eastAsia" w:ascii="仿宋_GB2312" w:hAnsi="宋体" w:eastAsia="仿宋_GB2312" w:cs="宋体"/>
          <w:color w:val="000000" w:themeColor="text1"/>
          <w:sz w:val="30"/>
          <w:szCs w:val="30"/>
          <w:highlight w:val="none"/>
          <w14:textFill>
            <w14:solidFill>
              <w14:schemeClr w14:val="tx1"/>
            </w14:solidFill>
          </w14:textFill>
        </w:rPr>
        <w:t>融资产品。</w:t>
      </w:r>
    </w:p>
    <w:p w14:paraId="6AA45C38">
      <w:pPr>
        <w:spacing w:line="360" w:lineRule="auto"/>
        <w:ind w:firstLine="600" w:firstLineChars="200"/>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政府采购项目中标（成交）的供应商，有融资意向的，</w:t>
      </w:r>
      <w:r>
        <w:rPr>
          <w:rFonts w:hint="eastAsia" w:ascii="仿宋_GB2312" w:hAnsi="方正仿宋_GBK" w:eastAsia="仿宋_GB2312"/>
          <w:color w:val="000000" w:themeColor="text1"/>
          <w:sz w:val="30"/>
          <w:szCs w:val="30"/>
          <w:highlight w:val="none"/>
          <w14:textFill>
            <w14:solidFill>
              <w14:schemeClr w14:val="tx1"/>
            </w14:solidFill>
          </w14:textFill>
        </w:rPr>
        <w:t>可登陆“焦作市政府采购网”（网址：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"http://jiaozuo.hngp.gov.cn）de" </w:instrText>
      </w:r>
      <w:r>
        <w:rPr>
          <w:color w:val="000000" w:themeColor="text1"/>
          <w:highlight w:val="none"/>
          <w14:textFill>
            <w14:solidFill>
              <w14:schemeClr w14:val="tx1"/>
            </w14:solidFill>
          </w14:textFill>
        </w:rPr>
        <w:fldChar w:fldCharType="separate"/>
      </w:r>
      <w:r>
        <w:rPr>
          <w:rStyle w:val="37"/>
          <w:rFonts w:ascii="仿宋_GB2312" w:hAnsi="方正仿宋_GBK"/>
          <w:color w:val="000000" w:themeColor="text1"/>
          <w:sz w:val="30"/>
          <w:szCs w:val="30"/>
          <w:highlight w:val="none"/>
          <w14:textFill>
            <w14:solidFill>
              <w14:schemeClr w14:val="tx1"/>
            </w14:solidFill>
          </w14:textFill>
        </w:rPr>
        <w:t>http://jiaozuo.hngp.gov.cn</w:t>
      </w:r>
      <w:r>
        <w:rPr>
          <w:rStyle w:val="37"/>
          <w:rFonts w:hint="eastAsia" w:ascii="仿宋_GB2312" w:hAnsi="方正仿宋_GBK"/>
          <w:color w:val="000000" w:themeColor="text1"/>
          <w:sz w:val="30"/>
          <w:szCs w:val="30"/>
          <w:highlight w:val="none"/>
          <w14:textFill>
            <w14:solidFill>
              <w14:schemeClr w14:val="tx1"/>
            </w14:solidFill>
          </w14:textFill>
        </w:rPr>
        <w:t>）</w:t>
      </w:r>
      <w:r>
        <w:rPr>
          <w:rStyle w:val="37"/>
          <w:rFonts w:hint="eastAsia" w:ascii="仿宋_GB2312" w:hAnsi="方正仿宋_GBK"/>
          <w:color w:val="000000" w:themeColor="text1"/>
          <w:sz w:val="30"/>
          <w:szCs w:val="30"/>
          <w:highlight w:val="none"/>
          <w14:textFill>
            <w14:solidFill>
              <w14:schemeClr w14:val="tx1"/>
            </w14:solidFill>
          </w14:textFill>
        </w:rPr>
        <w:fldChar w:fldCharType="end"/>
      </w:r>
      <w:r>
        <w:rPr>
          <w:rFonts w:hint="eastAsia" w:ascii="仿宋_GB2312" w:hAnsi="方正仿宋_GBK" w:eastAsia="仿宋_GB2312"/>
          <w:color w:val="000000" w:themeColor="text1"/>
          <w:sz w:val="30"/>
          <w:szCs w:val="30"/>
          <w:highlight w:val="none"/>
          <w14:textFill>
            <w14:solidFill>
              <w14:schemeClr w14:val="tx1"/>
            </w14:solidFill>
          </w14:textFill>
        </w:rPr>
        <w:t>的政府采购合同融资平台，查看各融资服务机构的融资产品，同时可在线</w:t>
      </w:r>
      <w:r>
        <w:rPr>
          <w:rFonts w:hint="eastAsia" w:ascii="仿宋_GB2312" w:eastAsia="仿宋_GB2312"/>
          <w:color w:val="000000" w:themeColor="text1"/>
          <w:sz w:val="30"/>
          <w:szCs w:val="30"/>
          <w:highlight w:val="none"/>
          <w14:textFill>
            <w14:solidFill>
              <w14:schemeClr w14:val="tx1"/>
            </w14:solidFill>
          </w14:textFill>
        </w:rPr>
        <w:t>向融资服务机构申请贷款，</w:t>
      </w:r>
      <w:r>
        <w:rPr>
          <w:rFonts w:hint="eastAsia" w:ascii="仿宋_GB2312" w:hAnsi="宋体" w:eastAsia="仿宋_GB2312" w:cs="宋体"/>
          <w:color w:val="000000" w:themeColor="text1"/>
          <w:sz w:val="30"/>
          <w:szCs w:val="30"/>
          <w:highlight w:val="none"/>
          <w14:textFill>
            <w14:solidFill>
              <w14:schemeClr w14:val="tx1"/>
            </w14:solidFill>
          </w14:textFill>
        </w:rPr>
        <w:t>融资服务机构</w:t>
      </w:r>
      <w:r>
        <w:rPr>
          <w:rFonts w:hint="eastAsia" w:ascii="仿宋_GB2312" w:eastAsia="仿宋_GB2312"/>
          <w:color w:val="000000" w:themeColor="text1"/>
          <w:sz w:val="30"/>
          <w:szCs w:val="30"/>
          <w:highlight w:val="none"/>
          <w14:textFill>
            <w14:solidFill>
              <w14:schemeClr w14:val="tx1"/>
            </w14:solidFill>
          </w14:textFill>
        </w:rPr>
        <w:t>按照</w:t>
      </w:r>
      <w:r>
        <w:rPr>
          <w:rFonts w:hint="eastAsia" w:ascii="仿宋_GB2312" w:hAnsi="方正仿宋_GBK" w:eastAsia="仿宋_GB2312"/>
          <w:color w:val="000000" w:themeColor="text1"/>
          <w:sz w:val="30"/>
          <w:szCs w:val="30"/>
          <w:highlight w:val="none"/>
          <w14:textFill>
            <w14:solidFill>
              <w14:schemeClr w14:val="tx1"/>
            </w14:solidFill>
          </w14:textFill>
        </w:rPr>
        <w:t>程序</w:t>
      </w:r>
      <w:r>
        <w:rPr>
          <w:rFonts w:hint="eastAsia" w:ascii="仿宋_GB2312" w:eastAsia="仿宋_GB2312"/>
          <w:color w:val="000000" w:themeColor="text1"/>
          <w:sz w:val="30"/>
          <w:szCs w:val="30"/>
          <w:highlight w:val="none"/>
          <w14:textFill>
            <w14:solidFill>
              <w14:schemeClr w14:val="tx1"/>
            </w14:solidFill>
          </w14:textFill>
        </w:rPr>
        <w:t>向您提供便捷、高效、优惠的贷款服务。</w:t>
      </w:r>
    </w:p>
    <w:p w14:paraId="3E72C442">
      <w:pPr>
        <w:rPr>
          <w:color w:val="000000" w:themeColor="text1"/>
          <w:highlight w:val="none"/>
          <w14:textFill>
            <w14:solidFill>
              <w14:schemeClr w14:val="tx1"/>
            </w14:solidFill>
          </w14:textFill>
        </w:rPr>
      </w:pPr>
    </w:p>
    <w:p w14:paraId="53DFF1BD">
      <w:pPr>
        <w:rPr>
          <w:color w:val="000000" w:themeColor="text1"/>
          <w:highlight w:val="none"/>
          <w14:textFill>
            <w14:solidFill>
              <w14:schemeClr w14:val="tx1"/>
            </w14:solidFill>
          </w14:textFill>
        </w:rPr>
      </w:pPr>
    </w:p>
    <w:p w14:paraId="5149D0BA">
      <w:pPr>
        <w:rPr>
          <w:rFonts w:ascii="仿宋_GB2312" w:eastAsia="仿宋_GB2312"/>
          <w:color w:val="000000" w:themeColor="text1"/>
          <w:sz w:val="32"/>
          <w:szCs w:val="32"/>
          <w:highlight w:val="none"/>
          <w14:textFill>
            <w14:solidFill>
              <w14:schemeClr w14:val="tx1"/>
            </w14:solidFill>
          </w14:textFill>
        </w:rPr>
      </w:pPr>
    </w:p>
    <w:p w14:paraId="17D94D15">
      <w:pPr>
        <w:pStyle w:val="2"/>
        <w:spacing w:before="100" w:after="90" w:line="579" w:lineRule="auto"/>
        <w:jc w:val="center"/>
        <w:rPr>
          <w:rFonts w:hint="eastAsia" w:ascii="微软雅黑" w:hAnsi="微软雅黑" w:eastAsia="微软雅黑" w:cs="微软雅黑"/>
          <w:b w:val="0"/>
          <w:bCs w:val="0"/>
          <w:color w:val="000000" w:themeColor="text1"/>
          <w:highlight w:val="none"/>
          <w14:textFill>
            <w14:solidFill>
              <w14:schemeClr w14:val="tx1"/>
            </w14:solidFill>
          </w14:textFill>
        </w:rPr>
      </w:pPr>
      <w:bookmarkStart w:id="42" w:name="_Toc31054"/>
      <w:r>
        <w:rPr>
          <w:rFonts w:hint="eastAsia" w:ascii="微软雅黑" w:hAnsi="微软雅黑" w:eastAsia="微软雅黑" w:cs="微软雅黑"/>
          <w:b w:val="0"/>
          <w:bCs w:val="0"/>
          <w:color w:val="000000" w:themeColor="text1"/>
          <w:highlight w:val="none"/>
          <w14:textFill>
            <w14:solidFill>
              <w14:schemeClr w14:val="tx1"/>
            </w14:solidFill>
          </w14:textFill>
        </w:rPr>
        <w:t>政府采购合同融资操作流</w:t>
      </w:r>
      <w:bookmarkEnd w:id="42"/>
    </w:p>
    <w:p w14:paraId="3C0EE614">
      <w:pPr>
        <w:widowControl/>
        <w:shd w:val="clear" w:color="auto" w:fill="FFFFFF"/>
        <w:tabs>
          <w:tab w:val="left" w:pos="0"/>
        </w:tabs>
        <w:spacing w:line="360" w:lineRule="auto"/>
        <w:ind w:left="-1" w:leftChars="-95" w:hanging="198" w:hangingChars="62"/>
        <w:jc w:val="center"/>
        <w:rPr>
          <w:rFonts w:hint="eastAsia" w:ascii="微软雅黑" w:hAnsi="黑体" w:eastAsia="微软雅黑"/>
          <w:color w:val="000000" w:themeColor="text1"/>
          <w:sz w:val="44"/>
          <w:szCs w:val="44"/>
          <w:highlight w:val="none"/>
          <w14:textFill>
            <w14:solidFill>
              <w14:schemeClr w14:val="tx1"/>
            </w14:solidFill>
          </w14:textFill>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000000" w:themeColor="text1"/>
          <w:sz w:val="32"/>
          <w:szCs w:val="32"/>
          <w:highlight w:val="none"/>
          <w14:textFill>
            <w14:solidFill>
              <w14:schemeClr w14:val="tx1"/>
            </w14:solidFill>
          </w14:textFill>
        </w:rPr>
        <mc:AlternateContent>
          <mc:Choice Requires="wpg">
            <w:drawing>
              <wp:inline distT="0" distB="0" distL="114300" distR="114300">
                <wp:extent cx="5590540" cy="7728585"/>
                <wp:effectExtent l="0" t="4445" r="10160" b="20320"/>
                <wp:docPr id="44"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BBE2E3">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6AA9B3">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7E930A">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E6A1F">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DE5FE">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446AE">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90A66">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F7B23">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2CA563">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UR/yJ9cAAAAGAQAADwAAAAAAAAABACAAAAAiAAAAZHJzL2Rvd25yZXYueG1s&#10;UEsBAhQAFAAAAAgAh07iQDTW0a/CBQAAdT8AAA4AAAAAAAAAAQAgAAAAJgEAAGRycy9lMm9Eb2Mu&#10;eG1sUEsFBgAAAAAGAAYAWQEAAFo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474995">
                        <w:pPr>
                          <w:jc w:val="center"/>
                          <w:rPr>
                            <w:rFonts w:hint="eastAsia" w:ascii="宋体" w:hAnsi="宋体"/>
                            <w:sz w:val="24"/>
                          </w:rPr>
                        </w:pPr>
                        <w:r>
                          <w:rPr>
                            <w:rFonts w:hint="eastAsia" w:ascii="宋体" w:hAnsi="宋体"/>
                            <w:sz w:val="24"/>
                          </w:rPr>
                          <w:t>中小微企业申请</w:t>
                        </w:r>
                      </w:p>
                      <w:p w14:paraId="11DEC601">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0B539D3">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FBBE2E3">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56AA9B3">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E7E930A">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50E6A1F">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342170D">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59DE5FE">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08422A6">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418C5E">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67446AE">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5E90A66">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76F7B23">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12CA563">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pacing w:before="100" w:after="90" w:line="579" w:lineRule="auto"/>
        <w:jc w:val="cente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pPr>
      <w:bookmarkStart w:id="43" w:name="_Toc14260"/>
      <w:r>
        <w:rPr>
          <w:rFonts w:hint="eastAsia" w:ascii="微软雅黑" w:hAnsi="微软雅黑" w:eastAsia="微软雅黑" w:cs="微软雅黑"/>
          <w:b w:val="0"/>
          <w:bCs w:val="0"/>
          <w:color w:val="000000" w:themeColor="text1"/>
          <w:sz w:val="40"/>
          <w:szCs w:val="40"/>
          <w:highlight w:val="none"/>
          <w14:textFill>
            <w14:solidFill>
              <w14:schemeClr w14:val="tx1"/>
            </w14:solidFill>
          </w14:textFill>
        </w:rPr>
        <w:t>融资服务机构名单</w:t>
      </w:r>
      <w:bookmarkEnd w:id="4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名称</w:t>
            </w:r>
          </w:p>
        </w:tc>
        <w:tc>
          <w:tcPr>
            <w:tcW w:w="1230" w:type="dxa"/>
            <w:vAlign w:val="center"/>
          </w:tcPr>
          <w:p w14:paraId="03ABB58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联系人</w:t>
            </w:r>
          </w:p>
        </w:tc>
        <w:tc>
          <w:tcPr>
            <w:tcW w:w="1876" w:type="dxa"/>
            <w:vAlign w:val="center"/>
          </w:tcPr>
          <w:p w14:paraId="6D5ED5A0">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联系电话</w:t>
            </w:r>
          </w:p>
        </w:tc>
        <w:tc>
          <w:tcPr>
            <w:tcW w:w="2325" w:type="dxa"/>
            <w:vAlign w:val="center"/>
          </w:tcPr>
          <w:p w14:paraId="6A364B11">
            <w:pPr>
              <w:widowControl/>
              <w:tabs>
                <w:tab w:val="left" w:pos="0"/>
              </w:tabs>
              <w:spacing w:line="360" w:lineRule="auto"/>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中国农业银行股份有限公司焦作分行</w:t>
            </w:r>
          </w:p>
        </w:tc>
        <w:tc>
          <w:tcPr>
            <w:tcW w:w="1230" w:type="dxa"/>
            <w:shd w:val="solid" w:color="FFFFFF" w:fill="auto"/>
            <w:vAlign w:val="center"/>
          </w:tcPr>
          <w:p w14:paraId="27AF7C06">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薛国战</w:t>
            </w:r>
          </w:p>
        </w:tc>
        <w:tc>
          <w:tcPr>
            <w:tcW w:w="1876" w:type="dxa"/>
            <w:shd w:val="solid" w:color="FFFFFF" w:fill="auto"/>
            <w:vAlign w:val="center"/>
          </w:tcPr>
          <w:p w14:paraId="1235BB9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0391-2878039       13839109026</w:t>
            </w:r>
          </w:p>
        </w:tc>
        <w:tc>
          <w:tcPr>
            <w:tcW w:w="2325" w:type="dxa"/>
            <w:shd w:val="solid" w:color="FFFFFF" w:fill="auto"/>
            <w:vAlign w:val="center"/>
          </w:tcPr>
          <w:p w14:paraId="326B29D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中国银行股份有限公司焦作分行</w:t>
            </w:r>
          </w:p>
        </w:tc>
        <w:tc>
          <w:tcPr>
            <w:tcW w:w="1230" w:type="dxa"/>
            <w:shd w:val="solid" w:color="FFFFFF" w:fill="auto"/>
            <w:vAlign w:val="center"/>
          </w:tcPr>
          <w:p w14:paraId="72DDA3F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曹阳</w:t>
            </w:r>
          </w:p>
        </w:tc>
        <w:tc>
          <w:tcPr>
            <w:tcW w:w="1876" w:type="dxa"/>
            <w:shd w:val="solid" w:color="FFFFFF" w:fill="auto"/>
            <w:vAlign w:val="center"/>
          </w:tcPr>
          <w:p w14:paraId="3BE84520">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0391-8825171  13839118160</w:t>
            </w:r>
          </w:p>
        </w:tc>
        <w:tc>
          <w:tcPr>
            <w:tcW w:w="2325" w:type="dxa"/>
            <w:shd w:val="solid" w:color="FFFFFF" w:fill="auto"/>
            <w:vAlign w:val="center"/>
          </w:tcPr>
          <w:p w14:paraId="58B0A2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中国建设银行股份有限公司焦作分行</w:t>
            </w:r>
          </w:p>
        </w:tc>
        <w:tc>
          <w:tcPr>
            <w:tcW w:w="1230" w:type="dxa"/>
            <w:shd w:val="clear" w:color="auto" w:fill="auto"/>
            <w:vAlign w:val="center"/>
          </w:tcPr>
          <w:p w14:paraId="3EC14F35">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李华莹</w:t>
            </w:r>
          </w:p>
        </w:tc>
        <w:tc>
          <w:tcPr>
            <w:tcW w:w="1876" w:type="dxa"/>
            <w:shd w:val="clear" w:color="auto" w:fill="auto"/>
            <w:vAlign w:val="center"/>
          </w:tcPr>
          <w:p w14:paraId="19086AEA">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0391-3918471</w:t>
            </w:r>
          </w:p>
        </w:tc>
        <w:tc>
          <w:tcPr>
            <w:tcW w:w="2325" w:type="dxa"/>
            <w:shd w:val="solid" w:color="FFFFFF" w:fill="auto"/>
            <w:vAlign w:val="center"/>
          </w:tcPr>
          <w:p w14:paraId="72FA517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中国邮政储蓄银行股份有限公司焦作市分行</w:t>
            </w:r>
          </w:p>
        </w:tc>
        <w:tc>
          <w:tcPr>
            <w:tcW w:w="1230" w:type="dxa"/>
            <w:shd w:val="solid" w:color="FFFFFF" w:fill="auto"/>
            <w:vAlign w:val="center"/>
          </w:tcPr>
          <w:p w14:paraId="692A69B2">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李天祥</w:t>
            </w:r>
          </w:p>
        </w:tc>
        <w:tc>
          <w:tcPr>
            <w:tcW w:w="1876" w:type="dxa"/>
            <w:shd w:val="solid" w:color="FFFFFF" w:fill="auto"/>
            <w:vAlign w:val="center"/>
          </w:tcPr>
          <w:p w14:paraId="1B25D31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0391-2981968 13523359082</w:t>
            </w:r>
          </w:p>
        </w:tc>
        <w:tc>
          <w:tcPr>
            <w:tcW w:w="2325" w:type="dxa"/>
            <w:shd w:val="solid" w:color="FFFFFF" w:fill="auto"/>
            <w:vAlign w:val="center"/>
          </w:tcPr>
          <w:p w14:paraId="151F014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焦作中旅银行股份有限公司</w:t>
            </w:r>
          </w:p>
        </w:tc>
        <w:tc>
          <w:tcPr>
            <w:tcW w:w="1230" w:type="dxa"/>
            <w:shd w:val="solid" w:color="FFFFFF" w:fill="auto"/>
            <w:vAlign w:val="center"/>
          </w:tcPr>
          <w:p w14:paraId="66726CD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周建林</w:t>
            </w:r>
          </w:p>
        </w:tc>
        <w:tc>
          <w:tcPr>
            <w:tcW w:w="1876" w:type="dxa"/>
            <w:shd w:val="solid" w:color="FFFFFF" w:fill="auto"/>
            <w:vAlign w:val="center"/>
          </w:tcPr>
          <w:p w14:paraId="4EC67608">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xml:space="preserve">0391-2116963 15893053027 </w:t>
            </w:r>
          </w:p>
        </w:tc>
        <w:tc>
          <w:tcPr>
            <w:tcW w:w="2325" w:type="dxa"/>
            <w:shd w:val="solid" w:color="FFFFFF" w:fill="auto"/>
            <w:vAlign w:val="center"/>
          </w:tcPr>
          <w:p w14:paraId="2EAAF4DD">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中信银行股份有限公司焦作分行</w:t>
            </w:r>
          </w:p>
        </w:tc>
        <w:tc>
          <w:tcPr>
            <w:tcW w:w="1230" w:type="dxa"/>
            <w:shd w:val="clear" w:color="auto" w:fill="auto"/>
            <w:vAlign w:val="center"/>
          </w:tcPr>
          <w:p w14:paraId="739454B4">
            <w:pPr>
              <w:widowControl/>
              <w:tabs>
                <w:tab w:val="left" w:pos="0"/>
              </w:tabs>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周江江</w:t>
            </w:r>
          </w:p>
        </w:tc>
        <w:tc>
          <w:tcPr>
            <w:tcW w:w="1876" w:type="dxa"/>
            <w:shd w:val="clear" w:color="auto" w:fill="auto"/>
            <w:vAlign w:val="center"/>
          </w:tcPr>
          <w:p w14:paraId="1C82607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17639185001</w:t>
            </w:r>
          </w:p>
        </w:tc>
        <w:tc>
          <w:tcPr>
            <w:tcW w:w="2325" w:type="dxa"/>
            <w:shd w:val="solid" w:color="FFFFFF" w:fill="auto"/>
            <w:vAlign w:val="center"/>
          </w:tcPr>
          <w:p w14:paraId="50BAD45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中国光大银行股份有限公司焦作分行</w:t>
            </w:r>
          </w:p>
        </w:tc>
        <w:tc>
          <w:tcPr>
            <w:tcW w:w="1230" w:type="dxa"/>
            <w:shd w:val="solid" w:color="FFFFFF" w:fill="auto"/>
            <w:vAlign w:val="center"/>
          </w:tcPr>
          <w:p w14:paraId="1A965DA9">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王海宾</w:t>
            </w:r>
          </w:p>
        </w:tc>
        <w:tc>
          <w:tcPr>
            <w:tcW w:w="1876" w:type="dxa"/>
            <w:shd w:val="solid" w:color="FFFFFF" w:fill="auto"/>
            <w:vAlign w:val="center"/>
          </w:tcPr>
          <w:p w14:paraId="1593DEDC">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0391-8787996 13598534626</w:t>
            </w:r>
          </w:p>
        </w:tc>
        <w:tc>
          <w:tcPr>
            <w:tcW w:w="2325" w:type="dxa"/>
            <w:shd w:val="solid" w:color="FFFFFF" w:fill="auto"/>
            <w:vAlign w:val="center"/>
          </w:tcPr>
          <w:p w14:paraId="64D955D1">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中原银行股份有限公司焦作分行</w:t>
            </w:r>
          </w:p>
        </w:tc>
        <w:tc>
          <w:tcPr>
            <w:tcW w:w="1230" w:type="dxa"/>
            <w:shd w:val="solid" w:color="FFFFFF" w:fill="auto"/>
            <w:vAlign w:val="center"/>
          </w:tcPr>
          <w:p w14:paraId="37ABFE8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赵伟</w:t>
            </w:r>
          </w:p>
        </w:tc>
        <w:tc>
          <w:tcPr>
            <w:tcW w:w="1876" w:type="dxa"/>
            <w:shd w:val="solid" w:color="FFFFFF" w:fill="auto"/>
            <w:vAlign w:val="center"/>
          </w:tcPr>
          <w:p w14:paraId="5C517B3E">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0391-8796520 15738533033</w:t>
            </w:r>
          </w:p>
        </w:tc>
        <w:tc>
          <w:tcPr>
            <w:tcW w:w="2325" w:type="dxa"/>
            <w:shd w:val="solid" w:color="FFFFFF" w:fill="auto"/>
            <w:vAlign w:val="center"/>
          </w:tcPr>
          <w:p w14:paraId="3CF1E007">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tabs>
                <w:tab w:val="left" w:pos="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广发银行股份有限公司焦作分行</w:t>
            </w:r>
          </w:p>
        </w:tc>
        <w:tc>
          <w:tcPr>
            <w:tcW w:w="1230" w:type="dxa"/>
            <w:shd w:val="solid" w:color="FFFFFF" w:fill="auto"/>
            <w:vAlign w:val="center"/>
          </w:tcPr>
          <w:p w14:paraId="330EF6AF">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张嘉强</w:t>
            </w:r>
          </w:p>
        </w:tc>
        <w:tc>
          <w:tcPr>
            <w:tcW w:w="1876" w:type="dxa"/>
            <w:shd w:val="solid" w:color="FFFFFF" w:fill="auto"/>
            <w:vAlign w:val="center"/>
          </w:tcPr>
          <w:p w14:paraId="601A75FB">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0391-653785 13203910032</w:t>
            </w:r>
          </w:p>
        </w:tc>
        <w:tc>
          <w:tcPr>
            <w:tcW w:w="2325" w:type="dxa"/>
            <w:shd w:val="solid" w:color="FFFFFF" w:fill="auto"/>
            <w:vAlign w:val="center"/>
          </w:tcPr>
          <w:p w14:paraId="722D194A">
            <w:pPr>
              <w:shd w:val="solid" w:color="FFFFFF" w:fill="auto"/>
              <w:autoSpaceDN w:val="0"/>
              <w:spacing w:line="360" w:lineRule="auto"/>
              <w:jc w:val="center"/>
              <w:textAlignment w:val="cente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焦作市塔南路1736号嘉隆金融中心</w:t>
            </w:r>
          </w:p>
        </w:tc>
      </w:tr>
    </w:tbl>
    <w:p w14:paraId="1AD95F31">
      <w:pPr>
        <w:widowControl/>
        <w:tabs>
          <w:tab w:val="left" w:pos="0"/>
        </w:tabs>
        <w:spacing w:line="360" w:lineRule="auto"/>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备注：融资服务机构名单和人员联系方式会随时变化。具体情况可登录“焦作市政府采购网”政府采购合同融资平台查询。</w:t>
      </w:r>
    </w:p>
    <w:p w14:paraId="20259D7D">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sectPr>
      <w:footerReference r:id="rId9"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202861-A319-48E9-AF0F-14BA704AB37D}"/>
  </w:font>
  <w:font w:name="黑体">
    <w:panose1 w:val="02010609060101010101"/>
    <w:charset w:val="86"/>
    <w:family w:val="auto"/>
    <w:pitch w:val="default"/>
    <w:sig w:usb0="800002BF" w:usb1="38CF7CFA" w:usb2="00000016" w:usb3="00000000" w:csb0="00040001" w:csb1="00000000"/>
    <w:embedRegular r:id="rId2" w:fontKey="{D64AB963-F9FF-4502-AA73-32ABF6326D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6E53F1-8779-4753-B72D-DC2D856C2CD2}"/>
  </w:font>
  <w:font w:name="Book Antiqua">
    <w:panose1 w:val="02040602050305030304"/>
    <w:charset w:val="00"/>
    <w:family w:val="roman"/>
    <w:pitch w:val="default"/>
    <w:sig w:usb0="00000287" w:usb1="00000000" w:usb2="00000000" w:usb3="00000000" w:csb0="2000009F" w:csb1="DFD70000"/>
    <w:embedRegular r:id="rId4" w:fontKey="{D563D548-D141-4FBE-AEB0-C4442C8D6C9B}"/>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58CF5781-56E0-4363-A75E-DD4481AE7F51}"/>
  </w:font>
  <w:font w:name="微软雅黑">
    <w:panose1 w:val="020B0503020204020204"/>
    <w:charset w:val="86"/>
    <w:family w:val="swiss"/>
    <w:pitch w:val="default"/>
    <w:sig w:usb0="80000287" w:usb1="2ACF3C50" w:usb2="00000016" w:usb3="00000000" w:csb0="0004001F" w:csb1="00000000"/>
    <w:embedRegular r:id="rId6" w:fontKey="{1BF7E71D-EA75-4B6B-8A75-E63F7D44792C}"/>
  </w:font>
  <w:font w:name="方正仿宋_GBK">
    <w:panose1 w:val="03000509000000000000"/>
    <w:charset w:val="86"/>
    <w:family w:val="script"/>
    <w:pitch w:val="default"/>
    <w:sig w:usb0="00000001" w:usb1="080E0000" w:usb2="00000000" w:usb3="00000000" w:csb0="00040000" w:csb1="00000000"/>
    <w:embedRegular r:id="rId7" w:fontKey="{A5095ECA-E362-44BB-ABFF-04C33D3E362E}"/>
  </w:font>
  <w:font w:name="WPSEMBED1">
    <w:panose1 w:val="02040602050305030304"/>
    <w:charset w:val="00"/>
    <w:family w:val="auto"/>
    <w:pitch w:val="default"/>
    <w:sig w:usb0="00000287" w:usb1="00000000" w:usb2="00000000" w:usb3="00000000" w:csb0="2000009F" w:csb1="DFD7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7"/>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7"/>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7"/>
                          </w:pPr>
                        </w:p>
                        <w:p w14:paraId="342A2BE4">
                          <w:pPr>
                            <w:pStyle w:val="17"/>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7"/>
                    </w:pPr>
                  </w:p>
                  <w:p w14:paraId="342A2BE4">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7"/>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7"/>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7"/>
                          </w:pPr>
                        </w:p>
                        <w:p w14:paraId="2DE4E213">
                          <w:pPr>
                            <w:pStyle w:val="17"/>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7"/>
                    </w:pPr>
                  </w:p>
                  <w:p w14:paraId="2DE4E213">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7"/>
      <w:jc w:val="center"/>
    </w:pPr>
    <w:r>
      <w:rPr>
        <w:rFonts w:hint="eastAsia"/>
      </w:rPr>
      <w:t xml:space="preserve">                                                         </w:t>
    </w:r>
  </w:p>
  <w:p w14:paraId="4CF34B7E">
    <w:pPr>
      <w:pStyle w:val="17"/>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10ACC">
    <w:pPr>
      <w:pStyle w:val="10"/>
      <w:spacing w:line="171" w:lineRule="auto"/>
      <w:ind w:left="4454"/>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36E84">
                          <w:pPr>
                            <w:pStyle w:val="1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7C36E84">
                    <w:pPr>
                      <w:pStyle w:val="1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7"/>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7"/>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18"/>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344BA"/>
    <w:multiLevelType w:val="singleLevel"/>
    <w:tmpl w:val="B4B344BA"/>
    <w:lvl w:ilvl="0" w:tentative="0">
      <w:start w:val="1"/>
      <w:numFmt w:val="decimal"/>
      <w:lvlText w:val="%1."/>
      <w:lvlJc w:val="left"/>
      <w:pPr>
        <w:tabs>
          <w:tab w:val="left" w:pos="312"/>
        </w:tabs>
      </w:pPr>
    </w:lvl>
  </w:abstractNum>
  <w:abstractNum w:abstractNumId="1">
    <w:nsid w:val="B940B7CB"/>
    <w:multiLevelType w:val="singleLevel"/>
    <w:tmpl w:val="B940B7CB"/>
    <w:lvl w:ilvl="0" w:tentative="0">
      <w:start w:val="3"/>
      <w:numFmt w:val="decimal"/>
      <w:suff w:val="nothing"/>
      <w:lvlText w:val="%1、"/>
      <w:lvlJc w:val="left"/>
    </w:lvl>
  </w:abstractNum>
  <w:abstractNum w:abstractNumId="2">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4FDDF830"/>
    <w:multiLevelType w:val="singleLevel"/>
    <w:tmpl w:val="4FDDF830"/>
    <w:lvl w:ilvl="0" w:tentative="0">
      <w:start w:val="1"/>
      <w:numFmt w:val="decimal"/>
      <w:suff w:val="nothing"/>
      <w:lvlText w:val="%1、"/>
      <w:lvlJc w:val="left"/>
      <w:pPr>
        <w:ind w:left="-20"/>
      </w:pPr>
    </w:lvl>
  </w:abstractNum>
  <w:abstractNum w:abstractNumId="4">
    <w:nsid w:val="5B70301C"/>
    <w:multiLevelType w:val="multilevel"/>
    <w:tmpl w:val="5B70301C"/>
    <w:lvl w:ilvl="0" w:tentative="0">
      <w:start w:val="1"/>
      <w:numFmt w:val="decimal"/>
      <w:lvlText w:val="（%1）"/>
      <w:lvlJc w:val="left"/>
      <w:pPr>
        <w:ind w:left="1035" w:hanging="720"/>
      </w:pPr>
      <w:rPr>
        <w:rFonts w:hint="default"/>
      </w:rPr>
    </w:lvl>
    <w:lvl w:ilvl="1" w:tentative="0">
      <w:start w:val="1"/>
      <w:numFmt w:val="lowerLetter"/>
      <w:pStyle w:val="43"/>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5">
    <w:nsid w:val="6FC46809"/>
    <w:multiLevelType w:val="singleLevel"/>
    <w:tmpl w:val="6FC46809"/>
    <w:lvl w:ilvl="0" w:tentative="0">
      <w:start w:val="3"/>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2B62"/>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5E20"/>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65FA9"/>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7DD7"/>
    <w:rsid w:val="0150744A"/>
    <w:rsid w:val="01536131"/>
    <w:rsid w:val="01545A05"/>
    <w:rsid w:val="016043AA"/>
    <w:rsid w:val="01877B89"/>
    <w:rsid w:val="01AC3A93"/>
    <w:rsid w:val="01B21A18"/>
    <w:rsid w:val="01BC03E7"/>
    <w:rsid w:val="01BD7A4F"/>
    <w:rsid w:val="01CA5C47"/>
    <w:rsid w:val="01D34B7C"/>
    <w:rsid w:val="01E0427F"/>
    <w:rsid w:val="01E23011"/>
    <w:rsid w:val="01E25ABE"/>
    <w:rsid w:val="01E45AB8"/>
    <w:rsid w:val="01EE7C08"/>
    <w:rsid w:val="01F3041C"/>
    <w:rsid w:val="01FA65AD"/>
    <w:rsid w:val="02094A42"/>
    <w:rsid w:val="02130E8E"/>
    <w:rsid w:val="021A27AB"/>
    <w:rsid w:val="02247ACE"/>
    <w:rsid w:val="0225600D"/>
    <w:rsid w:val="024617F2"/>
    <w:rsid w:val="024740A5"/>
    <w:rsid w:val="024C6CE4"/>
    <w:rsid w:val="024E4B4B"/>
    <w:rsid w:val="025A0021"/>
    <w:rsid w:val="025E5E0C"/>
    <w:rsid w:val="026914D6"/>
    <w:rsid w:val="026E3E85"/>
    <w:rsid w:val="02775E4F"/>
    <w:rsid w:val="028842F3"/>
    <w:rsid w:val="02924A37"/>
    <w:rsid w:val="02A97FD3"/>
    <w:rsid w:val="02C07B5B"/>
    <w:rsid w:val="02D54924"/>
    <w:rsid w:val="02D7403E"/>
    <w:rsid w:val="02F0538D"/>
    <w:rsid w:val="02F97C8A"/>
    <w:rsid w:val="03062FFD"/>
    <w:rsid w:val="0311094D"/>
    <w:rsid w:val="03127926"/>
    <w:rsid w:val="03192A63"/>
    <w:rsid w:val="03545B4C"/>
    <w:rsid w:val="03546806"/>
    <w:rsid w:val="0374413D"/>
    <w:rsid w:val="03764359"/>
    <w:rsid w:val="03824AAC"/>
    <w:rsid w:val="03887BE8"/>
    <w:rsid w:val="039E11BA"/>
    <w:rsid w:val="03A04F32"/>
    <w:rsid w:val="03A4242B"/>
    <w:rsid w:val="03AA4003"/>
    <w:rsid w:val="03C751C9"/>
    <w:rsid w:val="03C96D2F"/>
    <w:rsid w:val="03D746CC"/>
    <w:rsid w:val="03E219EE"/>
    <w:rsid w:val="03EC0177"/>
    <w:rsid w:val="03F1578E"/>
    <w:rsid w:val="03F63207"/>
    <w:rsid w:val="03F82FC0"/>
    <w:rsid w:val="040134DD"/>
    <w:rsid w:val="04207E21"/>
    <w:rsid w:val="042F62B6"/>
    <w:rsid w:val="04351B1E"/>
    <w:rsid w:val="0440268E"/>
    <w:rsid w:val="044135D4"/>
    <w:rsid w:val="04463D2B"/>
    <w:rsid w:val="04581CB1"/>
    <w:rsid w:val="04625E5C"/>
    <w:rsid w:val="046643CE"/>
    <w:rsid w:val="04665F00"/>
    <w:rsid w:val="04673CA2"/>
    <w:rsid w:val="046E5030"/>
    <w:rsid w:val="04825046"/>
    <w:rsid w:val="049727D9"/>
    <w:rsid w:val="04A143F5"/>
    <w:rsid w:val="04A24CDA"/>
    <w:rsid w:val="04AA4393"/>
    <w:rsid w:val="04AD0340"/>
    <w:rsid w:val="04B75458"/>
    <w:rsid w:val="04BD1B14"/>
    <w:rsid w:val="04BD7D66"/>
    <w:rsid w:val="04C11604"/>
    <w:rsid w:val="04CA4F95"/>
    <w:rsid w:val="04CD398A"/>
    <w:rsid w:val="04D74983"/>
    <w:rsid w:val="04DC4690"/>
    <w:rsid w:val="04EE7F1F"/>
    <w:rsid w:val="04F05A45"/>
    <w:rsid w:val="05010AE8"/>
    <w:rsid w:val="050648F2"/>
    <w:rsid w:val="05080FE1"/>
    <w:rsid w:val="05121E5F"/>
    <w:rsid w:val="0521539E"/>
    <w:rsid w:val="052A5638"/>
    <w:rsid w:val="05380311"/>
    <w:rsid w:val="0548177D"/>
    <w:rsid w:val="054E6624"/>
    <w:rsid w:val="05611EC8"/>
    <w:rsid w:val="057167A1"/>
    <w:rsid w:val="0575231F"/>
    <w:rsid w:val="057E5747"/>
    <w:rsid w:val="05832150"/>
    <w:rsid w:val="058F0F75"/>
    <w:rsid w:val="0596173A"/>
    <w:rsid w:val="05985434"/>
    <w:rsid w:val="05A02E79"/>
    <w:rsid w:val="05B240B9"/>
    <w:rsid w:val="05B25536"/>
    <w:rsid w:val="05C608ED"/>
    <w:rsid w:val="05CD7550"/>
    <w:rsid w:val="05CF1AFF"/>
    <w:rsid w:val="05D13AC9"/>
    <w:rsid w:val="05D830A9"/>
    <w:rsid w:val="05E05ABA"/>
    <w:rsid w:val="05EB7976"/>
    <w:rsid w:val="05FD48BE"/>
    <w:rsid w:val="06022644"/>
    <w:rsid w:val="060C68AF"/>
    <w:rsid w:val="061B4D44"/>
    <w:rsid w:val="06231F6B"/>
    <w:rsid w:val="0627193B"/>
    <w:rsid w:val="062864BE"/>
    <w:rsid w:val="062D4B10"/>
    <w:rsid w:val="062E5CA0"/>
    <w:rsid w:val="0633208D"/>
    <w:rsid w:val="06336531"/>
    <w:rsid w:val="06383B48"/>
    <w:rsid w:val="063F6C84"/>
    <w:rsid w:val="06484896"/>
    <w:rsid w:val="065344DE"/>
    <w:rsid w:val="065B3392"/>
    <w:rsid w:val="066C37F1"/>
    <w:rsid w:val="067D155B"/>
    <w:rsid w:val="067F1777"/>
    <w:rsid w:val="06897EFF"/>
    <w:rsid w:val="06927957"/>
    <w:rsid w:val="06985B68"/>
    <w:rsid w:val="069E3612"/>
    <w:rsid w:val="06A90370"/>
    <w:rsid w:val="06AD62E4"/>
    <w:rsid w:val="06B050AF"/>
    <w:rsid w:val="06B963C3"/>
    <w:rsid w:val="06BB4699"/>
    <w:rsid w:val="06BF6017"/>
    <w:rsid w:val="06CE625A"/>
    <w:rsid w:val="06D426C9"/>
    <w:rsid w:val="06DE6B97"/>
    <w:rsid w:val="06E11AE9"/>
    <w:rsid w:val="06E23AB3"/>
    <w:rsid w:val="06E415DA"/>
    <w:rsid w:val="06F54F23"/>
    <w:rsid w:val="07097292"/>
    <w:rsid w:val="070A6E58"/>
    <w:rsid w:val="070E664D"/>
    <w:rsid w:val="071579E5"/>
    <w:rsid w:val="071C0D73"/>
    <w:rsid w:val="07200CE4"/>
    <w:rsid w:val="072916E2"/>
    <w:rsid w:val="072C2F43"/>
    <w:rsid w:val="073A094A"/>
    <w:rsid w:val="073A744C"/>
    <w:rsid w:val="07443F60"/>
    <w:rsid w:val="07462294"/>
    <w:rsid w:val="074E2D4C"/>
    <w:rsid w:val="075449B1"/>
    <w:rsid w:val="07554280"/>
    <w:rsid w:val="078F59E9"/>
    <w:rsid w:val="07916D09"/>
    <w:rsid w:val="07940902"/>
    <w:rsid w:val="07A14D60"/>
    <w:rsid w:val="07A72E06"/>
    <w:rsid w:val="07AD656C"/>
    <w:rsid w:val="07BD65C4"/>
    <w:rsid w:val="07ED0962"/>
    <w:rsid w:val="07FD79D6"/>
    <w:rsid w:val="08057A5A"/>
    <w:rsid w:val="080F10BE"/>
    <w:rsid w:val="080F6B2A"/>
    <w:rsid w:val="081859DF"/>
    <w:rsid w:val="081C6819"/>
    <w:rsid w:val="0837218F"/>
    <w:rsid w:val="08412327"/>
    <w:rsid w:val="08470072"/>
    <w:rsid w:val="08493DEA"/>
    <w:rsid w:val="084A7135"/>
    <w:rsid w:val="085409E1"/>
    <w:rsid w:val="08584823"/>
    <w:rsid w:val="08710708"/>
    <w:rsid w:val="087D2DFB"/>
    <w:rsid w:val="087D71AA"/>
    <w:rsid w:val="087F116D"/>
    <w:rsid w:val="08816E02"/>
    <w:rsid w:val="08892439"/>
    <w:rsid w:val="0891753F"/>
    <w:rsid w:val="08935065"/>
    <w:rsid w:val="089D4136"/>
    <w:rsid w:val="08B6440D"/>
    <w:rsid w:val="08CE2541"/>
    <w:rsid w:val="08DD4532"/>
    <w:rsid w:val="08F024B8"/>
    <w:rsid w:val="09187C60"/>
    <w:rsid w:val="091A7C6C"/>
    <w:rsid w:val="091C30B6"/>
    <w:rsid w:val="092108C3"/>
    <w:rsid w:val="09212671"/>
    <w:rsid w:val="0922463B"/>
    <w:rsid w:val="09285553"/>
    <w:rsid w:val="094952AB"/>
    <w:rsid w:val="094F3A7D"/>
    <w:rsid w:val="09545D5A"/>
    <w:rsid w:val="095A5B83"/>
    <w:rsid w:val="09664528"/>
    <w:rsid w:val="09672297"/>
    <w:rsid w:val="096B2F12"/>
    <w:rsid w:val="09842A94"/>
    <w:rsid w:val="09980064"/>
    <w:rsid w:val="09AA6B0A"/>
    <w:rsid w:val="09AD6DA0"/>
    <w:rsid w:val="09B733CF"/>
    <w:rsid w:val="09CA0F5B"/>
    <w:rsid w:val="09E244F6"/>
    <w:rsid w:val="09FC3DED"/>
    <w:rsid w:val="0A017CA5"/>
    <w:rsid w:val="0A083831"/>
    <w:rsid w:val="0A0F4BBF"/>
    <w:rsid w:val="0A165F4E"/>
    <w:rsid w:val="0A177FBB"/>
    <w:rsid w:val="0A2C751F"/>
    <w:rsid w:val="0A32516E"/>
    <w:rsid w:val="0A3B5E4F"/>
    <w:rsid w:val="0A3E36F7"/>
    <w:rsid w:val="0A4763C4"/>
    <w:rsid w:val="0A534A68"/>
    <w:rsid w:val="0A5847B8"/>
    <w:rsid w:val="0A5D129E"/>
    <w:rsid w:val="0A6F73CD"/>
    <w:rsid w:val="0A7316DF"/>
    <w:rsid w:val="0A766D81"/>
    <w:rsid w:val="0A7E3AF3"/>
    <w:rsid w:val="0A7E3E50"/>
    <w:rsid w:val="0A8A4B5C"/>
    <w:rsid w:val="0A915C28"/>
    <w:rsid w:val="0A9645B6"/>
    <w:rsid w:val="0A9652E1"/>
    <w:rsid w:val="0A996E90"/>
    <w:rsid w:val="0A9E7CF1"/>
    <w:rsid w:val="0AA411F3"/>
    <w:rsid w:val="0ACB1529"/>
    <w:rsid w:val="0ACC0D02"/>
    <w:rsid w:val="0AD16319"/>
    <w:rsid w:val="0AE47DFA"/>
    <w:rsid w:val="0AE743BE"/>
    <w:rsid w:val="0AE840F1"/>
    <w:rsid w:val="0AEC4F01"/>
    <w:rsid w:val="0AFE58D7"/>
    <w:rsid w:val="0B022976"/>
    <w:rsid w:val="0B0E781A"/>
    <w:rsid w:val="0B1412DE"/>
    <w:rsid w:val="0B3E0B27"/>
    <w:rsid w:val="0B460AB5"/>
    <w:rsid w:val="0B6251C3"/>
    <w:rsid w:val="0B7078E0"/>
    <w:rsid w:val="0B7C44D7"/>
    <w:rsid w:val="0B7F7B23"/>
    <w:rsid w:val="0B84338B"/>
    <w:rsid w:val="0B8E7D66"/>
    <w:rsid w:val="0B900166"/>
    <w:rsid w:val="0B996E37"/>
    <w:rsid w:val="0B9B6F08"/>
    <w:rsid w:val="0BA13F3D"/>
    <w:rsid w:val="0BB84DE3"/>
    <w:rsid w:val="0BB91287"/>
    <w:rsid w:val="0BB93391"/>
    <w:rsid w:val="0BBF6A1F"/>
    <w:rsid w:val="0BC16775"/>
    <w:rsid w:val="0BCC0102"/>
    <w:rsid w:val="0BCF0AAA"/>
    <w:rsid w:val="0BD065D0"/>
    <w:rsid w:val="0BEB07E5"/>
    <w:rsid w:val="0C01678A"/>
    <w:rsid w:val="0C055C11"/>
    <w:rsid w:val="0C261DCE"/>
    <w:rsid w:val="0C2A095B"/>
    <w:rsid w:val="0C403756"/>
    <w:rsid w:val="0C4C060D"/>
    <w:rsid w:val="0C5138FA"/>
    <w:rsid w:val="0C5B2C36"/>
    <w:rsid w:val="0C612EBC"/>
    <w:rsid w:val="0C6A07D3"/>
    <w:rsid w:val="0C7F2B27"/>
    <w:rsid w:val="0C853538"/>
    <w:rsid w:val="0C917B0E"/>
    <w:rsid w:val="0C9D0F3D"/>
    <w:rsid w:val="0C9D5046"/>
    <w:rsid w:val="0C9E222B"/>
    <w:rsid w:val="0C9F66CF"/>
    <w:rsid w:val="0CA30DC4"/>
    <w:rsid w:val="0CA53682"/>
    <w:rsid w:val="0CA57A5D"/>
    <w:rsid w:val="0CB67574"/>
    <w:rsid w:val="0CC62E79"/>
    <w:rsid w:val="0CEC743A"/>
    <w:rsid w:val="0CFD5169"/>
    <w:rsid w:val="0D037D85"/>
    <w:rsid w:val="0D246BD4"/>
    <w:rsid w:val="0D265FB9"/>
    <w:rsid w:val="0D2A2C87"/>
    <w:rsid w:val="0D2F4585"/>
    <w:rsid w:val="0D42705A"/>
    <w:rsid w:val="0D4A7900"/>
    <w:rsid w:val="0D4C7ED9"/>
    <w:rsid w:val="0D4E59FF"/>
    <w:rsid w:val="0D5F5E5E"/>
    <w:rsid w:val="0D5F7C0C"/>
    <w:rsid w:val="0D6D04FB"/>
    <w:rsid w:val="0D7D4536"/>
    <w:rsid w:val="0D7F0FF2"/>
    <w:rsid w:val="0D892EDB"/>
    <w:rsid w:val="0D922CCC"/>
    <w:rsid w:val="0DAB373F"/>
    <w:rsid w:val="0DB10B15"/>
    <w:rsid w:val="0DB937C0"/>
    <w:rsid w:val="0DEC5606"/>
    <w:rsid w:val="0DF6340F"/>
    <w:rsid w:val="0DF759EC"/>
    <w:rsid w:val="0E0003F5"/>
    <w:rsid w:val="0E0D58BA"/>
    <w:rsid w:val="0E131438"/>
    <w:rsid w:val="0E2A021A"/>
    <w:rsid w:val="0E300CCB"/>
    <w:rsid w:val="0E34332C"/>
    <w:rsid w:val="0E360478"/>
    <w:rsid w:val="0E484539"/>
    <w:rsid w:val="0E4E6F98"/>
    <w:rsid w:val="0E590AC2"/>
    <w:rsid w:val="0E59465B"/>
    <w:rsid w:val="0E6A1AC5"/>
    <w:rsid w:val="0E6F1FEA"/>
    <w:rsid w:val="0E8E4A9A"/>
    <w:rsid w:val="0E8F346F"/>
    <w:rsid w:val="0E9561E9"/>
    <w:rsid w:val="0EA76728"/>
    <w:rsid w:val="0EAB39BC"/>
    <w:rsid w:val="0EAE0E4B"/>
    <w:rsid w:val="0EAF060F"/>
    <w:rsid w:val="0EBB5316"/>
    <w:rsid w:val="0EBD5AF0"/>
    <w:rsid w:val="0EC44874"/>
    <w:rsid w:val="0ECB06E8"/>
    <w:rsid w:val="0EE4486D"/>
    <w:rsid w:val="0EE867D6"/>
    <w:rsid w:val="0EF24AB8"/>
    <w:rsid w:val="0EF40828"/>
    <w:rsid w:val="0EF83E74"/>
    <w:rsid w:val="0F00662C"/>
    <w:rsid w:val="0F112BA2"/>
    <w:rsid w:val="0F16079E"/>
    <w:rsid w:val="0F16254C"/>
    <w:rsid w:val="0F2E646B"/>
    <w:rsid w:val="0F4946D0"/>
    <w:rsid w:val="0F4B5E20"/>
    <w:rsid w:val="0F5E215B"/>
    <w:rsid w:val="0F5E7024"/>
    <w:rsid w:val="0F6253CB"/>
    <w:rsid w:val="0F7306C4"/>
    <w:rsid w:val="0F73174D"/>
    <w:rsid w:val="0F7416D3"/>
    <w:rsid w:val="0F755356"/>
    <w:rsid w:val="0F995CE4"/>
    <w:rsid w:val="0FA77648"/>
    <w:rsid w:val="0FB938EE"/>
    <w:rsid w:val="0FC87CEA"/>
    <w:rsid w:val="0FCA4128"/>
    <w:rsid w:val="0FD056DD"/>
    <w:rsid w:val="0FE10B54"/>
    <w:rsid w:val="0FE20680"/>
    <w:rsid w:val="0FE268D2"/>
    <w:rsid w:val="0FF521C8"/>
    <w:rsid w:val="0FFF1232"/>
    <w:rsid w:val="10094E47"/>
    <w:rsid w:val="100E76C7"/>
    <w:rsid w:val="101A2DB8"/>
    <w:rsid w:val="1021389E"/>
    <w:rsid w:val="102D3FF1"/>
    <w:rsid w:val="10307BFB"/>
    <w:rsid w:val="10376C1E"/>
    <w:rsid w:val="103855F9"/>
    <w:rsid w:val="104B3684"/>
    <w:rsid w:val="106612B1"/>
    <w:rsid w:val="10686DD7"/>
    <w:rsid w:val="106A6FF4"/>
    <w:rsid w:val="106D2640"/>
    <w:rsid w:val="10741A50"/>
    <w:rsid w:val="10797237"/>
    <w:rsid w:val="107A55F0"/>
    <w:rsid w:val="10802FF2"/>
    <w:rsid w:val="108C6F6A"/>
    <w:rsid w:val="109202F8"/>
    <w:rsid w:val="10981E8E"/>
    <w:rsid w:val="10A63D2D"/>
    <w:rsid w:val="10B464C1"/>
    <w:rsid w:val="10B65D95"/>
    <w:rsid w:val="10BB513E"/>
    <w:rsid w:val="10BC0A12"/>
    <w:rsid w:val="10BC59EE"/>
    <w:rsid w:val="10C009C2"/>
    <w:rsid w:val="10CC2784"/>
    <w:rsid w:val="10D206F5"/>
    <w:rsid w:val="10D91A83"/>
    <w:rsid w:val="10E037A1"/>
    <w:rsid w:val="10F14CA2"/>
    <w:rsid w:val="10F20A88"/>
    <w:rsid w:val="10F863AD"/>
    <w:rsid w:val="11072A94"/>
    <w:rsid w:val="110765F0"/>
    <w:rsid w:val="1109680C"/>
    <w:rsid w:val="11124F95"/>
    <w:rsid w:val="112E2143"/>
    <w:rsid w:val="116457F1"/>
    <w:rsid w:val="116A0647"/>
    <w:rsid w:val="117240CA"/>
    <w:rsid w:val="1173012A"/>
    <w:rsid w:val="118714DF"/>
    <w:rsid w:val="118865E2"/>
    <w:rsid w:val="119E68F1"/>
    <w:rsid w:val="11C3441F"/>
    <w:rsid w:val="11CC15E8"/>
    <w:rsid w:val="11D4470B"/>
    <w:rsid w:val="11DF30C9"/>
    <w:rsid w:val="11E72AA0"/>
    <w:rsid w:val="11ED5817"/>
    <w:rsid w:val="11F272A1"/>
    <w:rsid w:val="11F27300"/>
    <w:rsid w:val="11FE3E97"/>
    <w:rsid w:val="11FF770F"/>
    <w:rsid w:val="1209283C"/>
    <w:rsid w:val="12236EB5"/>
    <w:rsid w:val="122B27B2"/>
    <w:rsid w:val="122D22A7"/>
    <w:rsid w:val="12533B52"/>
    <w:rsid w:val="125A3098"/>
    <w:rsid w:val="125C0BBE"/>
    <w:rsid w:val="12614426"/>
    <w:rsid w:val="126656EA"/>
    <w:rsid w:val="12865C3B"/>
    <w:rsid w:val="12942106"/>
    <w:rsid w:val="12A32349"/>
    <w:rsid w:val="12A54313"/>
    <w:rsid w:val="12A74175"/>
    <w:rsid w:val="12D746E8"/>
    <w:rsid w:val="12DA1A1B"/>
    <w:rsid w:val="12DC1601"/>
    <w:rsid w:val="12DC4263"/>
    <w:rsid w:val="12DE553C"/>
    <w:rsid w:val="12E31AB3"/>
    <w:rsid w:val="12E3308D"/>
    <w:rsid w:val="12EC0194"/>
    <w:rsid w:val="12EC3C32"/>
    <w:rsid w:val="12EE791C"/>
    <w:rsid w:val="1303087B"/>
    <w:rsid w:val="131453C8"/>
    <w:rsid w:val="131D6EAC"/>
    <w:rsid w:val="133D09EF"/>
    <w:rsid w:val="133F1385"/>
    <w:rsid w:val="13441D7E"/>
    <w:rsid w:val="13491142"/>
    <w:rsid w:val="135B0E75"/>
    <w:rsid w:val="13632822"/>
    <w:rsid w:val="137D0DEC"/>
    <w:rsid w:val="13802975"/>
    <w:rsid w:val="13895FA5"/>
    <w:rsid w:val="139D0588"/>
    <w:rsid w:val="13A20F1B"/>
    <w:rsid w:val="13AA57B4"/>
    <w:rsid w:val="13B02416"/>
    <w:rsid w:val="13B50586"/>
    <w:rsid w:val="13B642FE"/>
    <w:rsid w:val="13D808DB"/>
    <w:rsid w:val="13E16F2E"/>
    <w:rsid w:val="13E450A0"/>
    <w:rsid w:val="13E75C47"/>
    <w:rsid w:val="13EA071A"/>
    <w:rsid w:val="13F111A4"/>
    <w:rsid w:val="13FB1AF3"/>
    <w:rsid w:val="14114F14"/>
    <w:rsid w:val="14125544"/>
    <w:rsid w:val="14177DA3"/>
    <w:rsid w:val="14227BAC"/>
    <w:rsid w:val="1432607A"/>
    <w:rsid w:val="14333641"/>
    <w:rsid w:val="1444190A"/>
    <w:rsid w:val="144D5224"/>
    <w:rsid w:val="14733F9D"/>
    <w:rsid w:val="147A17CF"/>
    <w:rsid w:val="147D1163"/>
    <w:rsid w:val="147F0B94"/>
    <w:rsid w:val="14841741"/>
    <w:rsid w:val="14A15F86"/>
    <w:rsid w:val="14A36EC5"/>
    <w:rsid w:val="14B65311"/>
    <w:rsid w:val="14BA3748"/>
    <w:rsid w:val="14BA7E1E"/>
    <w:rsid w:val="14BE16BC"/>
    <w:rsid w:val="14BF0B64"/>
    <w:rsid w:val="14C70602"/>
    <w:rsid w:val="14D34A81"/>
    <w:rsid w:val="14D5025D"/>
    <w:rsid w:val="14D70BDB"/>
    <w:rsid w:val="14DC5FE6"/>
    <w:rsid w:val="14E03136"/>
    <w:rsid w:val="14F055ED"/>
    <w:rsid w:val="14F35954"/>
    <w:rsid w:val="14F43330"/>
    <w:rsid w:val="14FE5F5C"/>
    <w:rsid w:val="150712B5"/>
    <w:rsid w:val="1513618F"/>
    <w:rsid w:val="1514752E"/>
    <w:rsid w:val="151B4D60"/>
    <w:rsid w:val="151E03AD"/>
    <w:rsid w:val="15233C15"/>
    <w:rsid w:val="1525798D"/>
    <w:rsid w:val="152D6842"/>
    <w:rsid w:val="15367C24"/>
    <w:rsid w:val="15460579"/>
    <w:rsid w:val="154D0D4C"/>
    <w:rsid w:val="156F1C62"/>
    <w:rsid w:val="1573694A"/>
    <w:rsid w:val="15806971"/>
    <w:rsid w:val="15930FBB"/>
    <w:rsid w:val="15962639"/>
    <w:rsid w:val="159927CF"/>
    <w:rsid w:val="15B8610B"/>
    <w:rsid w:val="15C54CCC"/>
    <w:rsid w:val="15CA5E3E"/>
    <w:rsid w:val="15DA1999"/>
    <w:rsid w:val="15E52C78"/>
    <w:rsid w:val="15E769F0"/>
    <w:rsid w:val="15F5110D"/>
    <w:rsid w:val="161377E5"/>
    <w:rsid w:val="16184A55"/>
    <w:rsid w:val="16273291"/>
    <w:rsid w:val="16456658"/>
    <w:rsid w:val="164C2CF7"/>
    <w:rsid w:val="164E138E"/>
    <w:rsid w:val="16565924"/>
    <w:rsid w:val="166D339A"/>
    <w:rsid w:val="166F6902"/>
    <w:rsid w:val="16775FC6"/>
    <w:rsid w:val="167D1103"/>
    <w:rsid w:val="16805733"/>
    <w:rsid w:val="16837CAD"/>
    <w:rsid w:val="168D5635"/>
    <w:rsid w:val="16912973"/>
    <w:rsid w:val="169620A3"/>
    <w:rsid w:val="1699418F"/>
    <w:rsid w:val="169F1079"/>
    <w:rsid w:val="16AE750E"/>
    <w:rsid w:val="16B72867"/>
    <w:rsid w:val="16BC1C2B"/>
    <w:rsid w:val="16CD208A"/>
    <w:rsid w:val="16D57191"/>
    <w:rsid w:val="16F413C5"/>
    <w:rsid w:val="16FB5268"/>
    <w:rsid w:val="171001C9"/>
    <w:rsid w:val="17224323"/>
    <w:rsid w:val="172F5DE0"/>
    <w:rsid w:val="1735378C"/>
    <w:rsid w:val="1752258F"/>
    <w:rsid w:val="176127D3"/>
    <w:rsid w:val="17683E7F"/>
    <w:rsid w:val="176B468F"/>
    <w:rsid w:val="17725CE9"/>
    <w:rsid w:val="1772678E"/>
    <w:rsid w:val="17884203"/>
    <w:rsid w:val="17964BDD"/>
    <w:rsid w:val="179B2D8B"/>
    <w:rsid w:val="179C380B"/>
    <w:rsid w:val="17A30E71"/>
    <w:rsid w:val="17B62B1E"/>
    <w:rsid w:val="17B8460B"/>
    <w:rsid w:val="17C214C3"/>
    <w:rsid w:val="17D51C87"/>
    <w:rsid w:val="17D631C0"/>
    <w:rsid w:val="17D77BD6"/>
    <w:rsid w:val="17DB2585"/>
    <w:rsid w:val="17E627B5"/>
    <w:rsid w:val="17E70F2A"/>
    <w:rsid w:val="17FE566D"/>
    <w:rsid w:val="17FF44C5"/>
    <w:rsid w:val="1804388A"/>
    <w:rsid w:val="18193D70"/>
    <w:rsid w:val="181D0DEF"/>
    <w:rsid w:val="182F467F"/>
    <w:rsid w:val="185715DB"/>
    <w:rsid w:val="185A451F"/>
    <w:rsid w:val="185A5893"/>
    <w:rsid w:val="1864257A"/>
    <w:rsid w:val="186C7681"/>
    <w:rsid w:val="186D1665"/>
    <w:rsid w:val="187F1162"/>
    <w:rsid w:val="188035F4"/>
    <w:rsid w:val="18836C66"/>
    <w:rsid w:val="18952734"/>
    <w:rsid w:val="189D5C7A"/>
    <w:rsid w:val="18AE37F5"/>
    <w:rsid w:val="18B07EC0"/>
    <w:rsid w:val="18B369CF"/>
    <w:rsid w:val="18BA7D5A"/>
    <w:rsid w:val="18CB43A7"/>
    <w:rsid w:val="18D30994"/>
    <w:rsid w:val="18F27B86"/>
    <w:rsid w:val="18FA1684"/>
    <w:rsid w:val="18FC4F15"/>
    <w:rsid w:val="19085AB4"/>
    <w:rsid w:val="190A13FE"/>
    <w:rsid w:val="191A7EEA"/>
    <w:rsid w:val="192529BF"/>
    <w:rsid w:val="1941466A"/>
    <w:rsid w:val="19540841"/>
    <w:rsid w:val="196633DA"/>
    <w:rsid w:val="196E4A9F"/>
    <w:rsid w:val="19726F19"/>
    <w:rsid w:val="19744A3F"/>
    <w:rsid w:val="197459C9"/>
    <w:rsid w:val="19753563"/>
    <w:rsid w:val="1977008B"/>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A0B20"/>
    <w:rsid w:val="19DE010A"/>
    <w:rsid w:val="19DF45AE"/>
    <w:rsid w:val="19E140B3"/>
    <w:rsid w:val="19E31F20"/>
    <w:rsid w:val="19EA6632"/>
    <w:rsid w:val="19EB3DD4"/>
    <w:rsid w:val="19F6533D"/>
    <w:rsid w:val="1A004525"/>
    <w:rsid w:val="1A0155E6"/>
    <w:rsid w:val="1A0758B3"/>
    <w:rsid w:val="1A077661"/>
    <w:rsid w:val="1A0E3027"/>
    <w:rsid w:val="1A113A55"/>
    <w:rsid w:val="1A2A3A0A"/>
    <w:rsid w:val="1A331C30"/>
    <w:rsid w:val="1A381F10"/>
    <w:rsid w:val="1A3A17E5"/>
    <w:rsid w:val="1A442663"/>
    <w:rsid w:val="1A467CA5"/>
    <w:rsid w:val="1A4C776A"/>
    <w:rsid w:val="1A4F2DB6"/>
    <w:rsid w:val="1A5371C7"/>
    <w:rsid w:val="1A60786E"/>
    <w:rsid w:val="1A6A7BF0"/>
    <w:rsid w:val="1A7C633B"/>
    <w:rsid w:val="1A7D4307"/>
    <w:rsid w:val="1A82318C"/>
    <w:rsid w:val="1A935399"/>
    <w:rsid w:val="1AA12347"/>
    <w:rsid w:val="1AA55154"/>
    <w:rsid w:val="1AC12C2F"/>
    <w:rsid w:val="1AC9700C"/>
    <w:rsid w:val="1ACC4407"/>
    <w:rsid w:val="1AD5150D"/>
    <w:rsid w:val="1AEE1B5A"/>
    <w:rsid w:val="1AEF3204"/>
    <w:rsid w:val="1B034424"/>
    <w:rsid w:val="1B0E2C71"/>
    <w:rsid w:val="1B17523A"/>
    <w:rsid w:val="1B1B1AED"/>
    <w:rsid w:val="1B2327BA"/>
    <w:rsid w:val="1B285DA8"/>
    <w:rsid w:val="1B2D1349"/>
    <w:rsid w:val="1B34225F"/>
    <w:rsid w:val="1B3868FA"/>
    <w:rsid w:val="1B530684"/>
    <w:rsid w:val="1B6A434C"/>
    <w:rsid w:val="1B741809"/>
    <w:rsid w:val="1B886A2D"/>
    <w:rsid w:val="1B9719AF"/>
    <w:rsid w:val="1B9C64CF"/>
    <w:rsid w:val="1B9E2247"/>
    <w:rsid w:val="1B9E5EB2"/>
    <w:rsid w:val="1BA01B1B"/>
    <w:rsid w:val="1BA84216"/>
    <w:rsid w:val="1BDA239E"/>
    <w:rsid w:val="1BDD66D3"/>
    <w:rsid w:val="1BDE35D8"/>
    <w:rsid w:val="1BE13DD4"/>
    <w:rsid w:val="1BE20386"/>
    <w:rsid w:val="1BE35EAC"/>
    <w:rsid w:val="1BF73705"/>
    <w:rsid w:val="1C032FC3"/>
    <w:rsid w:val="1C0F2461"/>
    <w:rsid w:val="1C197B20"/>
    <w:rsid w:val="1C2A75D2"/>
    <w:rsid w:val="1C387FA6"/>
    <w:rsid w:val="1C3E30E2"/>
    <w:rsid w:val="1C417161"/>
    <w:rsid w:val="1C4E1ED3"/>
    <w:rsid w:val="1C6036B0"/>
    <w:rsid w:val="1C60574F"/>
    <w:rsid w:val="1C640447"/>
    <w:rsid w:val="1C7B4A90"/>
    <w:rsid w:val="1C7D00AF"/>
    <w:rsid w:val="1C7F7983"/>
    <w:rsid w:val="1C802E64"/>
    <w:rsid w:val="1C8C02F2"/>
    <w:rsid w:val="1C8E5E18"/>
    <w:rsid w:val="1C9E2440"/>
    <w:rsid w:val="1CCD74BF"/>
    <w:rsid w:val="1CD02E5A"/>
    <w:rsid w:val="1CD221A8"/>
    <w:rsid w:val="1CD81789"/>
    <w:rsid w:val="1CDC4F69"/>
    <w:rsid w:val="1CF33ECD"/>
    <w:rsid w:val="1D07790C"/>
    <w:rsid w:val="1D077978"/>
    <w:rsid w:val="1D0B3E46"/>
    <w:rsid w:val="1D1A7519"/>
    <w:rsid w:val="1D1D2483"/>
    <w:rsid w:val="1D220E65"/>
    <w:rsid w:val="1D224F06"/>
    <w:rsid w:val="1D350989"/>
    <w:rsid w:val="1D3A1AFC"/>
    <w:rsid w:val="1D473B0F"/>
    <w:rsid w:val="1D567A2F"/>
    <w:rsid w:val="1D594678"/>
    <w:rsid w:val="1D6D0123"/>
    <w:rsid w:val="1D74500E"/>
    <w:rsid w:val="1D7C2114"/>
    <w:rsid w:val="1D860C6F"/>
    <w:rsid w:val="1D884BDD"/>
    <w:rsid w:val="1D893DF7"/>
    <w:rsid w:val="1D991F3E"/>
    <w:rsid w:val="1D9D1A60"/>
    <w:rsid w:val="1DA653E3"/>
    <w:rsid w:val="1DB23D88"/>
    <w:rsid w:val="1DC767A9"/>
    <w:rsid w:val="1DD66083"/>
    <w:rsid w:val="1DD67A76"/>
    <w:rsid w:val="1DDB32DF"/>
    <w:rsid w:val="1DE07B88"/>
    <w:rsid w:val="1DE71A2D"/>
    <w:rsid w:val="1DEA5065"/>
    <w:rsid w:val="1DFC3255"/>
    <w:rsid w:val="1E0B5246"/>
    <w:rsid w:val="1E0E109B"/>
    <w:rsid w:val="1E150A33"/>
    <w:rsid w:val="1E1B36DB"/>
    <w:rsid w:val="1E1F5FCA"/>
    <w:rsid w:val="1E264941"/>
    <w:rsid w:val="1E3454F5"/>
    <w:rsid w:val="1E4A2212"/>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17F54"/>
    <w:rsid w:val="1EE31C63"/>
    <w:rsid w:val="1EE8459E"/>
    <w:rsid w:val="1EEE40CF"/>
    <w:rsid w:val="1EF06916"/>
    <w:rsid w:val="1EFA0674"/>
    <w:rsid w:val="1EFA3E00"/>
    <w:rsid w:val="1F0214F7"/>
    <w:rsid w:val="1F0C172C"/>
    <w:rsid w:val="1F114B7A"/>
    <w:rsid w:val="1F243576"/>
    <w:rsid w:val="1F2E5690"/>
    <w:rsid w:val="1F2F61E7"/>
    <w:rsid w:val="1F3F164B"/>
    <w:rsid w:val="1F443106"/>
    <w:rsid w:val="1F49734D"/>
    <w:rsid w:val="1F4B39E8"/>
    <w:rsid w:val="1F546AF6"/>
    <w:rsid w:val="1F670BF5"/>
    <w:rsid w:val="1F784E52"/>
    <w:rsid w:val="1F7A08D5"/>
    <w:rsid w:val="1F853634"/>
    <w:rsid w:val="1F8C3BF6"/>
    <w:rsid w:val="1F923E71"/>
    <w:rsid w:val="1F941997"/>
    <w:rsid w:val="1F9C084C"/>
    <w:rsid w:val="1FA15E62"/>
    <w:rsid w:val="1FA47700"/>
    <w:rsid w:val="1FA535FA"/>
    <w:rsid w:val="1FA83694"/>
    <w:rsid w:val="1FAA11BB"/>
    <w:rsid w:val="1FB43DE7"/>
    <w:rsid w:val="1FBC3D21"/>
    <w:rsid w:val="1FD06BA8"/>
    <w:rsid w:val="1FDA6873"/>
    <w:rsid w:val="1FE655FE"/>
    <w:rsid w:val="1FF16DE9"/>
    <w:rsid w:val="1FF7742C"/>
    <w:rsid w:val="200D561F"/>
    <w:rsid w:val="20121817"/>
    <w:rsid w:val="20141E71"/>
    <w:rsid w:val="20174376"/>
    <w:rsid w:val="202820DF"/>
    <w:rsid w:val="202B1BD0"/>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1D1970"/>
    <w:rsid w:val="212B5917"/>
    <w:rsid w:val="21675F5E"/>
    <w:rsid w:val="216B497A"/>
    <w:rsid w:val="216B6728"/>
    <w:rsid w:val="21723F5A"/>
    <w:rsid w:val="218D48F0"/>
    <w:rsid w:val="219739C1"/>
    <w:rsid w:val="21AB0BFE"/>
    <w:rsid w:val="21B300CF"/>
    <w:rsid w:val="21B55BF5"/>
    <w:rsid w:val="21B856E5"/>
    <w:rsid w:val="21BC3427"/>
    <w:rsid w:val="21BC795F"/>
    <w:rsid w:val="21CD73E2"/>
    <w:rsid w:val="21CF4F08"/>
    <w:rsid w:val="21D62AEB"/>
    <w:rsid w:val="21DA5735"/>
    <w:rsid w:val="21F076E1"/>
    <w:rsid w:val="21F169EC"/>
    <w:rsid w:val="21F76C58"/>
    <w:rsid w:val="220152DE"/>
    <w:rsid w:val="22056B7C"/>
    <w:rsid w:val="220869B6"/>
    <w:rsid w:val="22106A7C"/>
    <w:rsid w:val="221D182D"/>
    <w:rsid w:val="2240642E"/>
    <w:rsid w:val="224B26A4"/>
    <w:rsid w:val="224C47AB"/>
    <w:rsid w:val="225A426B"/>
    <w:rsid w:val="22613F20"/>
    <w:rsid w:val="226A3C14"/>
    <w:rsid w:val="227D4C9F"/>
    <w:rsid w:val="229B5FA1"/>
    <w:rsid w:val="22A04AF7"/>
    <w:rsid w:val="22A44CA5"/>
    <w:rsid w:val="22B80F93"/>
    <w:rsid w:val="22BB028C"/>
    <w:rsid w:val="22BD4BC3"/>
    <w:rsid w:val="22C75BE0"/>
    <w:rsid w:val="22D3622C"/>
    <w:rsid w:val="22D447A0"/>
    <w:rsid w:val="22DE2D68"/>
    <w:rsid w:val="22FD3CF7"/>
    <w:rsid w:val="23056708"/>
    <w:rsid w:val="230F7587"/>
    <w:rsid w:val="231C27F4"/>
    <w:rsid w:val="231E7470"/>
    <w:rsid w:val="23213E8D"/>
    <w:rsid w:val="23241EA1"/>
    <w:rsid w:val="23250B58"/>
    <w:rsid w:val="23256DAA"/>
    <w:rsid w:val="232A43C0"/>
    <w:rsid w:val="232C638A"/>
    <w:rsid w:val="23311CBD"/>
    <w:rsid w:val="234731C4"/>
    <w:rsid w:val="234858E1"/>
    <w:rsid w:val="23694EE9"/>
    <w:rsid w:val="23790901"/>
    <w:rsid w:val="238F5C88"/>
    <w:rsid w:val="2393640A"/>
    <w:rsid w:val="239D2DE4"/>
    <w:rsid w:val="23A14CF8"/>
    <w:rsid w:val="23B91008"/>
    <w:rsid w:val="23CC4744"/>
    <w:rsid w:val="23D609DA"/>
    <w:rsid w:val="23DA4684"/>
    <w:rsid w:val="23FB704A"/>
    <w:rsid w:val="23FE7D27"/>
    <w:rsid w:val="23FF584D"/>
    <w:rsid w:val="240370EB"/>
    <w:rsid w:val="24107A5A"/>
    <w:rsid w:val="241D458E"/>
    <w:rsid w:val="242467CA"/>
    <w:rsid w:val="24306110"/>
    <w:rsid w:val="243D1502"/>
    <w:rsid w:val="244871F4"/>
    <w:rsid w:val="24487A08"/>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4136D"/>
    <w:rsid w:val="250B28E1"/>
    <w:rsid w:val="251F05DB"/>
    <w:rsid w:val="252512E3"/>
    <w:rsid w:val="25292B82"/>
    <w:rsid w:val="25350ED0"/>
    <w:rsid w:val="253908EB"/>
    <w:rsid w:val="25397D1A"/>
    <w:rsid w:val="253B24B9"/>
    <w:rsid w:val="253D0289"/>
    <w:rsid w:val="253D228D"/>
    <w:rsid w:val="253D662D"/>
    <w:rsid w:val="254774AC"/>
    <w:rsid w:val="254A0D4A"/>
    <w:rsid w:val="25504EBA"/>
    <w:rsid w:val="25506360"/>
    <w:rsid w:val="25565941"/>
    <w:rsid w:val="255C0913"/>
    <w:rsid w:val="255F65A3"/>
    <w:rsid w:val="2567597A"/>
    <w:rsid w:val="25842EE2"/>
    <w:rsid w:val="25861D82"/>
    <w:rsid w:val="25A53AC6"/>
    <w:rsid w:val="25AF3525"/>
    <w:rsid w:val="25C1100C"/>
    <w:rsid w:val="25CB3167"/>
    <w:rsid w:val="25DA6DFA"/>
    <w:rsid w:val="25E14C7A"/>
    <w:rsid w:val="25F96D8D"/>
    <w:rsid w:val="26052839"/>
    <w:rsid w:val="2613247A"/>
    <w:rsid w:val="26351F9D"/>
    <w:rsid w:val="26355556"/>
    <w:rsid w:val="26471627"/>
    <w:rsid w:val="26487037"/>
    <w:rsid w:val="2658691B"/>
    <w:rsid w:val="265F1CA4"/>
    <w:rsid w:val="266F71F8"/>
    <w:rsid w:val="26724F0A"/>
    <w:rsid w:val="267B1C6F"/>
    <w:rsid w:val="267F64D1"/>
    <w:rsid w:val="268656D9"/>
    <w:rsid w:val="26866228"/>
    <w:rsid w:val="26957867"/>
    <w:rsid w:val="269B185D"/>
    <w:rsid w:val="269C3827"/>
    <w:rsid w:val="26BB3CAD"/>
    <w:rsid w:val="26BF1478"/>
    <w:rsid w:val="26CF59AB"/>
    <w:rsid w:val="26D00FBC"/>
    <w:rsid w:val="26D646C5"/>
    <w:rsid w:val="26D905D7"/>
    <w:rsid w:val="26DB426D"/>
    <w:rsid w:val="26DB4FDA"/>
    <w:rsid w:val="26E51798"/>
    <w:rsid w:val="26FB67A0"/>
    <w:rsid w:val="27035654"/>
    <w:rsid w:val="271679AE"/>
    <w:rsid w:val="27206206"/>
    <w:rsid w:val="272457F2"/>
    <w:rsid w:val="272C0707"/>
    <w:rsid w:val="27324837"/>
    <w:rsid w:val="27390274"/>
    <w:rsid w:val="27441EF5"/>
    <w:rsid w:val="276021F9"/>
    <w:rsid w:val="276205CD"/>
    <w:rsid w:val="27663E6F"/>
    <w:rsid w:val="276E37A0"/>
    <w:rsid w:val="27704878"/>
    <w:rsid w:val="277125BE"/>
    <w:rsid w:val="27930786"/>
    <w:rsid w:val="27990440"/>
    <w:rsid w:val="279F537D"/>
    <w:rsid w:val="27AA5464"/>
    <w:rsid w:val="27AD01DA"/>
    <w:rsid w:val="27CB18D8"/>
    <w:rsid w:val="27F751B9"/>
    <w:rsid w:val="27FE1C8A"/>
    <w:rsid w:val="27FE59FB"/>
    <w:rsid w:val="27FF6FE3"/>
    <w:rsid w:val="28013C34"/>
    <w:rsid w:val="280B3FF0"/>
    <w:rsid w:val="281C6EFA"/>
    <w:rsid w:val="28247630"/>
    <w:rsid w:val="28284160"/>
    <w:rsid w:val="2834422D"/>
    <w:rsid w:val="28485A15"/>
    <w:rsid w:val="28543910"/>
    <w:rsid w:val="285507FD"/>
    <w:rsid w:val="28631B9C"/>
    <w:rsid w:val="28683951"/>
    <w:rsid w:val="288130EC"/>
    <w:rsid w:val="288E0E9B"/>
    <w:rsid w:val="28940C5A"/>
    <w:rsid w:val="289F1006"/>
    <w:rsid w:val="28A32C4B"/>
    <w:rsid w:val="28AF1112"/>
    <w:rsid w:val="28B22E8E"/>
    <w:rsid w:val="28B5472C"/>
    <w:rsid w:val="28C32AA1"/>
    <w:rsid w:val="28C6759A"/>
    <w:rsid w:val="28CB3F50"/>
    <w:rsid w:val="28CB7113"/>
    <w:rsid w:val="28CE4FA0"/>
    <w:rsid w:val="28D27848"/>
    <w:rsid w:val="28E1075A"/>
    <w:rsid w:val="28E15521"/>
    <w:rsid w:val="28E84B02"/>
    <w:rsid w:val="28EC7945"/>
    <w:rsid w:val="28FC3AEB"/>
    <w:rsid w:val="2902459D"/>
    <w:rsid w:val="290F5406"/>
    <w:rsid w:val="291F1C70"/>
    <w:rsid w:val="29323FCF"/>
    <w:rsid w:val="29387837"/>
    <w:rsid w:val="293A4267"/>
    <w:rsid w:val="29462756"/>
    <w:rsid w:val="294A3E4E"/>
    <w:rsid w:val="29600B3C"/>
    <w:rsid w:val="29656152"/>
    <w:rsid w:val="296C3C36"/>
    <w:rsid w:val="2974498E"/>
    <w:rsid w:val="29753FA3"/>
    <w:rsid w:val="297B3BC8"/>
    <w:rsid w:val="297B5976"/>
    <w:rsid w:val="297E2551"/>
    <w:rsid w:val="29824F56"/>
    <w:rsid w:val="299A22A0"/>
    <w:rsid w:val="299D31C0"/>
    <w:rsid w:val="29A44ECD"/>
    <w:rsid w:val="29A77E13"/>
    <w:rsid w:val="29A8575D"/>
    <w:rsid w:val="29B733F6"/>
    <w:rsid w:val="29B74108"/>
    <w:rsid w:val="29BA5BEE"/>
    <w:rsid w:val="29BD24A2"/>
    <w:rsid w:val="29C01785"/>
    <w:rsid w:val="29C448AF"/>
    <w:rsid w:val="29D85D2E"/>
    <w:rsid w:val="29E7300B"/>
    <w:rsid w:val="29FF6D9B"/>
    <w:rsid w:val="2A135BAE"/>
    <w:rsid w:val="2A147269"/>
    <w:rsid w:val="2A1F4553"/>
    <w:rsid w:val="2A202079"/>
    <w:rsid w:val="2A2038A1"/>
    <w:rsid w:val="2A2B1576"/>
    <w:rsid w:val="2A2C46A4"/>
    <w:rsid w:val="2A2F49A8"/>
    <w:rsid w:val="2A353D77"/>
    <w:rsid w:val="2A493BBE"/>
    <w:rsid w:val="2A497822"/>
    <w:rsid w:val="2A537017"/>
    <w:rsid w:val="2A7228D5"/>
    <w:rsid w:val="2A952A67"/>
    <w:rsid w:val="2A9863D3"/>
    <w:rsid w:val="2A99523B"/>
    <w:rsid w:val="2A9E7599"/>
    <w:rsid w:val="2AA415D3"/>
    <w:rsid w:val="2AA7677F"/>
    <w:rsid w:val="2AB2780B"/>
    <w:rsid w:val="2AC450FA"/>
    <w:rsid w:val="2AC46EA9"/>
    <w:rsid w:val="2ACF1C5D"/>
    <w:rsid w:val="2ADB2B70"/>
    <w:rsid w:val="2ADB7D7A"/>
    <w:rsid w:val="2ADF3CE2"/>
    <w:rsid w:val="2ADF3F67"/>
    <w:rsid w:val="2AEC6B2B"/>
    <w:rsid w:val="2AEF1948"/>
    <w:rsid w:val="2AF40319"/>
    <w:rsid w:val="2B0F4FC5"/>
    <w:rsid w:val="2B155185"/>
    <w:rsid w:val="2B326508"/>
    <w:rsid w:val="2B58197D"/>
    <w:rsid w:val="2B604E23"/>
    <w:rsid w:val="2B8F5708"/>
    <w:rsid w:val="2BB4516F"/>
    <w:rsid w:val="2BCC4267"/>
    <w:rsid w:val="2BE02651"/>
    <w:rsid w:val="2BF1433B"/>
    <w:rsid w:val="2BF51A0F"/>
    <w:rsid w:val="2C077995"/>
    <w:rsid w:val="2C0C1256"/>
    <w:rsid w:val="2C161986"/>
    <w:rsid w:val="2C29679B"/>
    <w:rsid w:val="2C2A5978"/>
    <w:rsid w:val="2C31056E"/>
    <w:rsid w:val="2C332538"/>
    <w:rsid w:val="2C381E79"/>
    <w:rsid w:val="2C3A5674"/>
    <w:rsid w:val="2C444745"/>
    <w:rsid w:val="2C453C96"/>
    <w:rsid w:val="2C511FF4"/>
    <w:rsid w:val="2C532BDA"/>
    <w:rsid w:val="2C690496"/>
    <w:rsid w:val="2C770676"/>
    <w:rsid w:val="2C771D6E"/>
    <w:rsid w:val="2C7D1A05"/>
    <w:rsid w:val="2C7E3ECE"/>
    <w:rsid w:val="2C8132A3"/>
    <w:rsid w:val="2C8277A3"/>
    <w:rsid w:val="2C9C00DD"/>
    <w:rsid w:val="2CA376BD"/>
    <w:rsid w:val="2CA40325"/>
    <w:rsid w:val="2CBD2A93"/>
    <w:rsid w:val="2CD71115"/>
    <w:rsid w:val="2CDB08FB"/>
    <w:rsid w:val="2CE56BC8"/>
    <w:rsid w:val="2CF06A23"/>
    <w:rsid w:val="2D065830"/>
    <w:rsid w:val="2D104627"/>
    <w:rsid w:val="2D14258E"/>
    <w:rsid w:val="2D171994"/>
    <w:rsid w:val="2D241E80"/>
    <w:rsid w:val="2D2E004F"/>
    <w:rsid w:val="2D370E79"/>
    <w:rsid w:val="2D3B1D0D"/>
    <w:rsid w:val="2D40315E"/>
    <w:rsid w:val="2D5C4689"/>
    <w:rsid w:val="2D744BB6"/>
    <w:rsid w:val="2D7A2E98"/>
    <w:rsid w:val="2D880979"/>
    <w:rsid w:val="2D92328E"/>
    <w:rsid w:val="2D954F24"/>
    <w:rsid w:val="2D990AC0"/>
    <w:rsid w:val="2DCC054E"/>
    <w:rsid w:val="2DD51C8A"/>
    <w:rsid w:val="2DDB065C"/>
    <w:rsid w:val="2DDB27CB"/>
    <w:rsid w:val="2DDD2785"/>
    <w:rsid w:val="2E02213E"/>
    <w:rsid w:val="2E156F36"/>
    <w:rsid w:val="2E162111"/>
    <w:rsid w:val="2E290EE4"/>
    <w:rsid w:val="2E2959A0"/>
    <w:rsid w:val="2E383E35"/>
    <w:rsid w:val="2E4630EF"/>
    <w:rsid w:val="2E5073D1"/>
    <w:rsid w:val="2E536EC1"/>
    <w:rsid w:val="2E5922BE"/>
    <w:rsid w:val="2E5C5D76"/>
    <w:rsid w:val="2E5C6907"/>
    <w:rsid w:val="2E7D70CB"/>
    <w:rsid w:val="2E9C199B"/>
    <w:rsid w:val="2EA350C6"/>
    <w:rsid w:val="2EBD433B"/>
    <w:rsid w:val="2ECB6B32"/>
    <w:rsid w:val="2ED05CDE"/>
    <w:rsid w:val="2EE47B19"/>
    <w:rsid w:val="2EF04710"/>
    <w:rsid w:val="2EF064BE"/>
    <w:rsid w:val="2EF35FAE"/>
    <w:rsid w:val="2EFE110B"/>
    <w:rsid w:val="2F0116F1"/>
    <w:rsid w:val="2F013C21"/>
    <w:rsid w:val="2F035B69"/>
    <w:rsid w:val="2F1D243A"/>
    <w:rsid w:val="2F2D14C0"/>
    <w:rsid w:val="2F2F41AE"/>
    <w:rsid w:val="2F2F5238"/>
    <w:rsid w:val="2F316EF3"/>
    <w:rsid w:val="2F3B5956"/>
    <w:rsid w:val="2F436F36"/>
    <w:rsid w:val="2F4D56BE"/>
    <w:rsid w:val="2F57478F"/>
    <w:rsid w:val="2F5A77EF"/>
    <w:rsid w:val="2F5C3B54"/>
    <w:rsid w:val="2F6517C3"/>
    <w:rsid w:val="2F6D345A"/>
    <w:rsid w:val="2F736F4A"/>
    <w:rsid w:val="2F7610B9"/>
    <w:rsid w:val="2FA30AC3"/>
    <w:rsid w:val="2FB76FDC"/>
    <w:rsid w:val="2FCE2CA3"/>
    <w:rsid w:val="2FDA6B1F"/>
    <w:rsid w:val="2FE37DD1"/>
    <w:rsid w:val="2FEA7D5E"/>
    <w:rsid w:val="2FF53476"/>
    <w:rsid w:val="2FFE4C0B"/>
    <w:rsid w:val="30013CC1"/>
    <w:rsid w:val="30032221"/>
    <w:rsid w:val="300761B5"/>
    <w:rsid w:val="301950F9"/>
    <w:rsid w:val="302C5C1C"/>
    <w:rsid w:val="30442F65"/>
    <w:rsid w:val="30451BBC"/>
    <w:rsid w:val="30474804"/>
    <w:rsid w:val="304923CA"/>
    <w:rsid w:val="30570AC2"/>
    <w:rsid w:val="30631264"/>
    <w:rsid w:val="306B283F"/>
    <w:rsid w:val="30775B89"/>
    <w:rsid w:val="30AB577E"/>
    <w:rsid w:val="30AE2FF6"/>
    <w:rsid w:val="30B36B3A"/>
    <w:rsid w:val="30C94365"/>
    <w:rsid w:val="30DC3D95"/>
    <w:rsid w:val="30EF0E8C"/>
    <w:rsid w:val="30F0668B"/>
    <w:rsid w:val="30F75985"/>
    <w:rsid w:val="31001087"/>
    <w:rsid w:val="31012C04"/>
    <w:rsid w:val="31043CA0"/>
    <w:rsid w:val="3108070F"/>
    <w:rsid w:val="310D3165"/>
    <w:rsid w:val="311B7A32"/>
    <w:rsid w:val="311C359A"/>
    <w:rsid w:val="31243FAD"/>
    <w:rsid w:val="312A215B"/>
    <w:rsid w:val="31374878"/>
    <w:rsid w:val="3138414C"/>
    <w:rsid w:val="31462D0D"/>
    <w:rsid w:val="31625612"/>
    <w:rsid w:val="31812082"/>
    <w:rsid w:val="319475D5"/>
    <w:rsid w:val="31A67308"/>
    <w:rsid w:val="31A85121"/>
    <w:rsid w:val="31B5579D"/>
    <w:rsid w:val="31C95661"/>
    <w:rsid w:val="31CA56EC"/>
    <w:rsid w:val="31D82885"/>
    <w:rsid w:val="31DA4629"/>
    <w:rsid w:val="31E610D6"/>
    <w:rsid w:val="31EF0CAF"/>
    <w:rsid w:val="31F12C79"/>
    <w:rsid w:val="31F2079F"/>
    <w:rsid w:val="31FB713A"/>
    <w:rsid w:val="31FC517A"/>
    <w:rsid w:val="3200110E"/>
    <w:rsid w:val="32016C06"/>
    <w:rsid w:val="32056724"/>
    <w:rsid w:val="32075108"/>
    <w:rsid w:val="321E3EB4"/>
    <w:rsid w:val="32252923"/>
    <w:rsid w:val="32292413"/>
    <w:rsid w:val="322C6B01"/>
    <w:rsid w:val="32353C83"/>
    <w:rsid w:val="32366140"/>
    <w:rsid w:val="323E5792"/>
    <w:rsid w:val="32592364"/>
    <w:rsid w:val="32601BAD"/>
    <w:rsid w:val="32607DFF"/>
    <w:rsid w:val="3264169D"/>
    <w:rsid w:val="326C21F0"/>
    <w:rsid w:val="3276317E"/>
    <w:rsid w:val="327B0795"/>
    <w:rsid w:val="328D3EE9"/>
    <w:rsid w:val="328F4699"/>
    <w:rsid w:val="32987598"/>
    <w:rsid w:val="32A509BB"/>
    <w:rsid w:val="32BF0EDD"/>
    <w:rsid w:val="32C4213C"/>
    <w:rsid w:val="32CC3B66"/>
    <w:rsid w:val="32CE2FBA"/>
    <w:rsid w:val="32D14858"/>
    <w:rsid w:val="32F522F5"/>
    <w:rsid w:val="32F563F4"/>
    <w:rsid w:val="32FA5B5D"/>
    <w:rsid w:val="32FD7A90"/>
    <w:rsid w:val="3301622E"/>
    <w:rsid w:val="33064502"/>
    <w:rsid w:val="3307027A"/>
    <w:rsid w:val="330813AC"/>
    <w:rsid w:val="33136C1F"/>
    <w:rsid w:val="33197425"/>
    <w:rsid w:val="33490893"/>
    <w:rsid w:val="334D1215"/>
    <w:rsid w:val="33613E2E"/>
    <w:rsid w:val="33751688"/>
    <w:rsid w:val="339257C8"/>
    <w:rsid w:val="33971CCB"/>
    <w:rsid w:val="33B05B99"/>
    <w:rsid w:val="33B54F5B"/>
    <w:rsid w:val="33BB5540"/>
    <w:rsid w:val="33C10429"/>
    <w:rsid w:val="33CF2B46"/>
    <w:rsid w:val="33D66175"/>
    <w:rsid w:val="33DF23F2"/>
    <w:rsid w:val="33E87939"/>
    <w:rsid w:val="341E7629"/>
    <w:rsid w:val="34342C2C"/>
    <w:rsid w:val="34386061"/>
    <w:rsid w:val="343D21A6"/>
    <w:rsid w:val="34607C42"/>
    <w:rsid w:val="34684A0D"/>
    <w:rsid w:val="34711F31"/>
    <w:rsid w:val="3479104D"/>
    <w:rsid w:val="3491604D"/>
    <w:rsid w:val="34964F8E"/>
    <w:rsid w:val="3496754B"/>
    <w:rsid w:val="34A73AC3"/>
    <w:rsid w:val="34B01925"/>
    <w:rsid w:val="34B5217A"/>
    <w:rsid w:val="34BB131C"/>
    <w:rsid w:val="34C15096"/>
    <w:rsid w:val="34C208FD"/>
    <w:rsid w:val="34C51D78"/>
    <w:rsid w:val="34D41A76"/>
    <w:rsid w:val="34DA28BD"/>
    <w:rsid w:val="34DB376C"/>
    <w:rsid w:val="34EE16F2"/>
    <w:rsid w:val="34F12952"/>
    <w:rsid w:val="35025FCF"/>
    <w:rsid w:val="350B1DC3"/>
    <w:rsid w:val="351333BE"/>
    <w:rsid w:val="3518676F"/>
    <w:rsid w:val="353A4937"/>
    <w:rsid w:val="35487054"/>
    <w:rsid w:val="354B05E0"/>
    <w:rsid w:val="355C12DE"/>
    <w:rsid w:val="355F7EFA"/>
    <w:rsid w:val="35613C72"/>
    <w:rsid w:val="3563244F"/>
    <w:rsid w:val="356527EF"/>
    <w:rsid w:val="357532E4"/>
    <w:rsid w:val="35753BC1"/>
    <w:rsid w:val="359027A9"/>
    <w:rsid w:val="35A3072E"/>
    <w:rsid w:val="35A76B10"/>
    <w:rsid w:val="35AE1209"/>
    <w:rsid w:val="35B20971"/>
    <w:rsid w:val="35C278B3"/>
    <w:rsid w:val="35C77203"/>
    <w:rsid w:val="35D16AE6"/>
    <w:rsid w:val="35D72AD1"/>
    <w:rsid w:val="35E46651"/>
    <w:rsid w:val="35E93C67"/>
    <w:rsid w:val="35FB58C9"/>
    <w:rsid w:val="36010856"/>
    <w:rsid w:val="36140EBC"/>
    <w:rsid w:val="36215F59"/>
    <w:rsid w:val="362D05B8"/>
    <w:rsid w:val="363629EF"/>
    <w:rsid w:val="3639699D"/>
    <w:rsid w:val="365D444A"/>
    <w:rsid w:val="366F0610"/>
    <w:rsid w:val="36706EDA"/>
    <w:rsid w:val="367B6FB5"/>
    <w:rsid w:val="36823FFB"/>
    <w:rsid w:val="36841031"/>
    <w:rsid w:val="368F480F"/>
    <w:rsid w:val="36914A2B"/>
    <w:rsid w:val="36954B86"/>
    <w:rsid w:val="36957440"/>
    <w:rsid w:val="36957B0E"/>
    <w:rsid w:val="36A27736"/>
    <w:rsid w:val="36B5066C"/>
    <w:rsid w:val="36BB1AA7"/>
    <w:rsid w:val="36C97CBE"/>
    <w:rsid w:val="36CE2CCF"/>
    <w:rsid w:val="36D003C7"/>
    <w:rsid w:val="36F11025"/>
    <w:rsid w:val="370178A6"/>
    <w:rsid w:val="371D006C"/>
    <w:rsid w:val="371D1E1A"/>
    <w:rsid w:val="371D5E6B"/>
    <w:rsid w:val="372E04CB"/>
    <w:rsid w:val="374E6478"/>
    <w:rsid w:val="374F07A2"/>
    <w:rsid w:val="375909AC"/>
    <w:rsid w:val="3762626B"/>
    <w:rsid w:val="376D2A25"/>
    <w:rsid w:val="37751C56"/>
    <w:rsid w:val="3779106C"/>
    <w:rsid w:val="3780579E"/>
    <w:rsid w:val="379E634E"/>
    <w:rsid w:val="37A86C53"/>
    <w:rsid w:val="37AD2E24"/>
    <w:rsid w:val="37B05FEC"/>
    <w:rsid w:val="37B73A7E"/>
    <w:rsid w:val="37C17498"/>
    <w:rsid w:val="37D85EC2"/>
    <w:rsid w:val="37EE2CAF"/>
    <w:rsid w:val="37EF0ACD"/>
    <w:rsid w:val="37F214F9"/>
    <w:rsid w:val="37F65E30"/>
    <w:rsid w:val="37F66F6A"/>
    <w:rsid w:val="38060B00"/>
    <w:rsid w:val="3806412E"/>
    <w:rsid w:val="38136DF0"/>
    <w:rsid w:val="381C69BD"/>
    <w:rsid w:val="3822621E"/>
    <w:rsid w:val="3825589D"/>
    <w:rsid w:val="382D0783"/>
    <w:rsid w:val="38321BD3"/>
    <w:rsid w:val="38325D99"/>
    <w:rsid w:val="383731AD"/>
    <w:rsid w:val="38392C84"/>
    <w:rsid w:val="383D1463"/>
    <w:rsid w:val="384B05C1"/>
    <w:rsid w:val="38511599"/>
    <w:rsid w:val="38593326"/>
    <w:rsid w:val="38602906"/>
    <w:rsid w:val="388C36FB"/>
    <w:rsid w:val="38984C96"/>
    <w:rsid w:val="389C497F"/>
    <w:rsid w:val="389E1CF2"/>
    <w:rsid w:val="38A6226A"/>
    <w:rsid w:val="38B8629F"/>
    <w:rsid w:val="38CD30C2"/>
    <w:rsid w:val="38CF5396"/>
    <w:rsid w:val="38DC1CAE"/>
    <w:rsid w:val="38E64352"/>
    <w:rsid w:val="38EC419A"/>
    <w:rsid w:val="38ED3A6E"/>
    <w:rsid w:val="390C261A"/>
    <w:rsid w:val="39217E6B"/>
    <w:rsid w:val="39287864"/>
    <w:rsid w:val="39420AD9"/>
    <w:rsid w:val="394E6C03"/>
    <w:rsid w:val="396177B0"/>
    <w:rsid w:val="39665F8E"/>
    <w:rsid w:val="396B12CF"/>
    <w:rsid w:val="3979197F"/>
    <w:rsid w:val="397A2DEC"/>
    <w:rsid w:val="397A6F78"/>
    <w:rsid w:val="39882B79"/>
    <w:rsid w:val="398F0341"/>
    <w:rsid w:val="398F2122"/>
    <w:rsid w:val="399C23D4"/>
    <w:rsid w:val="39AD543B"/>
    <w:rsid w:val="39B71D1E"/>
    <w:rsid w:val="39B747A8"/>
    <w:rsid w:val="39B77EFC"/>
    <w:rsid w:val="39BD78E5"/>
    <w:rsid w:val="39BF365D"/>
    <w:rsid w:val="39D54C2E"/>
    <w:rsid w:val="39E3559D"/>
    <w:rsid w:val="39E838F8"/>
    <w:rsid w:val="39E96772"/>
    <w:rsid w:val="39F252A2"/>
    <w:rsid w:val="39FF5F80"/>
    <w:rsid w:val="3A1127CD"/>
    <w:rsid w:val="3A246826"/>
    <w:rsid w:val="3A2B0CF2"/>
    <w:rsid w:val="3A360662"/>
    <w:rsid w:val="3A394275"/>
    <w:rsid w:val="3A3E6C77"/>
    <w:rsid w:val="3A42339F"/>
    <w:rsid w:val="3A46329D"/>
    <w:rsid w:val="3A4D2E82"/>
    <w:rsid w:val="3A500759"/>
    <w:rsid w:val="3A63223A"/>
    <w:rsid w:val="3A7601BF"/>
    <w:rsid w:val="3A793DA1"/>
    <w:rsid w:val="3A8324AD"/>
    <w:rsid w:val="3A970136"/>
    <w:rsid w:val="3AA50AA5"/>
    <w:rsid w:val="3AAD7959"/>
    <w:rsid w:val="3AB07408"/>
    <w:rsid w:val="3AB129D7"/>
    <w:rsid w:val="3AC70A1B"/>
    <w:rsid w:val="3AC9659D"/>
    <w:rsid w:val="3AD76784"/>
    <w:rsid w:val="3AD81A4C"/>
    <w:rsid w:val="3ADD2E87"/>
    <w:rsid w:val="3AE040A4"/>
    <w:rsid w:val="3AF41A4D"/>
    <w:rsid w:val="3AFA0A6E"/>
    <w:rsid w:val="3B0025AB"/>
    <w:rsid w:val="3B054287"/>
    <w:rsid w:val="3B0C28D2"/>
    <w:rsid w:val="3B0E36DA"/>
    <w:rsid w:val="3B194FEF"/>
    <w:rsid w:val="3B2C407E"/>
    <w:rsid w:val="3B2E0A9A"/>
    <w:rsid w:val="3B381322"/>
    <w:rsid w:val="3B437223"/>
    <w:rsid w:val="3B483EC7"/>
    <w:rsid w:val="3B585B17"/>
    <w:rsid w:val="3B675D5A"/>
    <w:rsid w:val="3B713E68"/>
    <w:rsid w:val="3B8E0680"/>
    <w:rsid w:val="3B931745"/>
    <w:rsid w:val="3B984165"/>
    <w:rsid w:val="3B9A6F31"/>
    <w:rsid w:val="3B9A7736"/>
    <w:rsid w:val="3BAA7334"/>
    <w:rsid w:val="3BAB3E99"/>
    <w:rsid w:val="3BBD3BCC"/>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265C15"/>
    <w:rsid w:val="3C3C2D43"/>
    <w:rsid w:val="3C410359"/>
    <w:rsid w:val="3C41617D"/>
    <w:rsid w:val="3C540855"/>
    <w:rsid w:val="3C5B2272"/>
    <w:rsid w:val="3C5B4D25"/>
    <w:rsid w:val="3C5C5193"/>
    <w:rsid w:val="3C605793"/>
    <w:rsid w:val="3C6803EB"/>
    <w:rsid w:val="3C7C688A"/>
    <w:rsid w:val="3CA408E8"/>
    <w:rsid w:val="3CB1029C"/>
    <w:rsid w:val="3CB11983"/>
    <w:rsid w:val="3CB53BFE"/>
    <w:rsid w:val="3CCB40C7"/>
    <w:rsid w:val="3CCF578C"/>
    <w:rsid w:val="3CE33B06"/>
    <w:rsid w:val="3CE52711"/>
    <w:rsid w:val="3CF75DFC"/>
    <w:rsid w:val="3CFF43DE"/>
    <w:rsid w:val="3D000214"/>
    <w:rsid w:val="3D073351"/>
    <w:rsid w:val="3D0B7719"/>
    <w:rsid w:val="3D136199"/>
    <w:rsid w:val="3D211F38"/>
    <w:rsid w:val="3D302759"/>
    <w:rsid w:val="3D393726"/>
    <w:rsid w:val="3D3D0E5A"/>
    <w:rsid w:val="3D557E03"/>
    <w:rsid w:val="3D6675E2"/>
    <w:rsid w:val="3D6802F9"/>
    <w:rsid w:val="3D685E7C"/>
    <w:rsid w:val="3D6E2C59"/>
    <w:rsid w:val="3D790984"/>
    <w:rsid w:val="3D943D3A"/>
    <w:rsid w:val="3DA72764"/>
    <w:rsid w:val="3DBA4867"/>
    <w:rsid w:val="3DC15167"/>
    <w:rsid w:val="3DC2196D"/>
    <w:rsid w:val="3DC34CD5"/>
    <w:rsid w:val="3DCC459A"/>
    <w:rsid w:val="3DD476B4"/>
    <w:rsid w:val="3DD75419"/>
    <w:rsid w:val="3DDC2A2F"/>
    <w:rsid w:val="3DE6740A"/>
    <w:rsid w:val="3DE74F30"/>
    <w:rsid w:val="3DEA59D2"/>
    <w:rsid w:val="3DF42E38"/>
    <w:rsid w:val="3DFB1968"/>
    <w:rsid w:val="3E001EA9"/>
    <w:rsid w:val="3E0155AD"/>
    <w:rsid w:val="3E1F6C4B"/>
    <w:rsid w:val="3E2C65BF"/>
    <w:rsid w:val="3E3715E6"/>
    <w:rsid w:val="3E377C66"/>
    <w:rsid w:val="3E5A5506"/>
    <w:rsid w:val="3E652E9C"/>
    <w:rsid w:val="3E66679D"/>
    <w:rsid w:val="3E726EF0"/>
    <w:rsid w:val="3E7436CD"/>
    <w:rsid w:val="3E7517F2"/>
    <w:rsid w:val="3E962D9D"/>
    <w:rsid w:val="3E9C21BE"/>
    <w:rsid w:val="3E9C6EB8"/>
    <w:rsid w:val="3EA370A9"/>
    <w:rsid w:val="3EB219E2"/>
    <w:rsid w:val="3EB52AFC"/>
    <w:rsid w:val="3EB63280"/>
    <w:rsid w:val="3EC139D3"/>
    <w:rsid w:val="3EC20828"/>
    <w:rsid w:val="3ECC2AA4"/>
    <w:rsid w:val="3ED87460"/>
    <w:rsid w:val="3EE34F62"/>
    <w:rsid w:val="3EE93C03"/>
    <w:rsid w:val="3EF4789C"/>
    <w:rsid w:val="3EF94F1B"/>
    <w:rsid w:val="3F0538C0"/>
    <w:rsid w:val="3F062A53"/>
    <w:rsid w:val="3F0A537A"/>
    <w:rsid w:val="3F0A67A9"/>
    <w:rsid w:val="3F0B4C4E"/>
    <w:rsid w:val="3F1907ED"/>
    <w:rsid w:val="3F1C50AD"/>
    <w:rsid w:val="3F283D0B"/>
    <w:rsid w:val="3F312907"/>
    <w:rsid w:val="3F3D32DC"/>
    <w:rsid w:val="3F4C5993"/>
    <w:rsid w:val="3F4F7231"/>
    <w:rsid w:val="3F550AB2"/>
    <w:rsid w:val="3F5B377D"/>
    <w:rsid w:val="3F6D7DF3"/>
    <w:rsid w:val="3F6F342F"/>
    <w:rsid w:val="3F9904AC"/>
    <w:rsid w:val="3F9A625B"/>
    <w:rsid w:val="3FA4757D"/>
    <w:rsid w:val="3FB32B32"/>
    <w:rsid w:val="3FB84DD6"/>
    <w:rsid w:val="3FDB0AC5"/>
    <w:rsid w:val="3FDB52CF"/>
    <w:rsid w:val="3FF40A03"/>
    <w:rsid w:val="3FF63EE3"/>
    <w:rsid w:val="3FFB4CC3"/>
    <w:rsid w:val="400224F5"/>
    <w:rsid w:val="40061FE5"/>
    <w:rsid w:val="40147B4C"/>
    <w:rsid w:val="40153FD6"/>
    <w:rsid w:val="40156940"/>
    <w:rsid w:val="401A339B"/>
    <w:rsid w:val="401B4E4B"/>
    <w:rsid w:val="40251D40"/>
    <w:rsid w:val="402661E4"/>
    <w:rsid w:val="40322DDA"/>
    <w:rsid w:val="40354679"/>
    <w:rsid w:val="403A1C8F"/>
    <w:rsid w:val="40414DCB"/>
    <w:rsid w:val="404E573A"/>
    <w:rsid w:val="40534AFF"/>
    <w:rsid w:val="405A7C3B"/>
    <w:rsid w:val="405F2DDF"/>
    <w:rsid w:val="4061721C"/>
    <w:rsid w:val="406E36E7"/>
    <w:rsid w:val="40754A75"/>
    <w:rsid w:val="408B4867"/>
    <w:rsid w:val="40907B01"/>
    <w:rsid w:val="40961942"/>
    <w:rsid w:val="409A44DC"/>
    <w:rsid w:val="40AC5344"/>
    <w:rsid w:val="40AE7F87"/>
    <w:rsid w:val="40B02662"/>
    <w:rsid w:val="40C33A32"/>
    <w:rsid w:val="40C63523"/>
    <w:rsid w:val="40DF3FA9"/>
    <w:rsid w:val="40DF5D28"/>
    <w:rsid w:val="40E13184"/>
    <w:rsid w:val="40E35E83"/>
    <w:rsid w:val="40F938F8"/>
    <w:rsid w:val="40F956A6"/>
    <w:rsid w:val="410B5BA8"/>
    <w:rsid w:val="41110C42"/>
    <w:rsid w:val="41173D7E"/>
    <w:rsid w:val="4126715F"/>
    <w:rsid w:val="412D25B6"/>
    <w:rsid w:val="414A326C"/>
    <w:rsid w:val="414D77A0"/>
    <w:rsid w:val="414E603F"/>
    <w:rsid w:val="414F3518"/>
    <w:rsid w:val="416777AB"/>
    <w:rsid w:val="416829D0"/>
    <w:rsid w:val="416D1BF0"/>
    <w:rsid w:val="416D6BC8"/>
    <w:rsid w:val="416F4571"/>
    <w:rsid w:val="41735459"/>
    <w:rsid w:val="417B7512"/>
    <w:rsid w:val="417C4F1D"/>
    <w:rsid w:val="41840AA3"/>
    <w:rsid w:val="418C651A"/>
    <w:rsid w:val="41922BCC"/>
    <w:rsid w:val="41C31810"/>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AE39F5"/>
    <w:rsid w:val="42B85710"/>
    <w:rsid w:val="42C4328B"/>
    <w:rsid w:val="42C6780A"/>
    <w:rsid w:val="42D31F27"/>
    <w:rsid w:val="42D4017C"/>
    <w:rsid w:val="42D53EF1"/>
    <w:rsid w:val="42D62B6D"/>
    <w:rsid w:val="42E13A0E"/>
    <w:rsid w:val="42F84106"/>
    <w:rsid w:val="43006D78"/>
    <w:rsid w:val="430A2AF4"/>
    <w:rsid w:val="432506C5"/>
    <w:rsid w:val="433454BE"/>
    <w:rsid w:val="433A3D54"/>
    <w:rsid w:val="433C187A"/>
    <w:rsid w:val="435A7F52"/>
    <w:rsid w:val="436314FD"/>
    <w:rsid w:val="4368445E"/>
    <w:rsid w:val="436E00E3"/>
    <w:rsid w:val="436F472F"/>
    <w:rsid w:val="437652FC"/>
    <w:rsid w:val="438A6A89"/>
    <w:rsid w:val="438B45A3"/>
    <w:rsid w:val="43901A1E"/>
    <w:rsid w:val="439E0787"/>
    <w:rsid w:val="439E40AE"/>
    <w:rsid w:val="43A0005B"/>
    <w:rsid w:val="43A6388C"/>
    <w:rsid w:val="43AD1F46"/>
    <w:rsid w:val="43B14016"/>
    <w:rsid w:val="43B6162D"/>
    <w:rsid w:val="43BB2753"/>
    <w:rsid w:val="43C31F9B"/>
    <w:rsid w:val="43C95804"/>
    <w:rsid w:val="43DB3E7F"/>
    <w:rsid w:val="43DD305D"/>
    <w:rsid w:val="43E5316C"/>
    <w:rsid w:val="43E54B70"/>
    <w:rsid w:val="43F645D6"/>
    <w:rsid w:val="43F670B2"/>
    <w:rsid w:val="440C3942"/>
    <w:rsid w:val="442545B7"/>
    <w:rsid w:val="44284413"/>
    <w:rsid w:val="443455D0"/>
    <w:rsid w:val="443E0535"/>
    <w:rsid w:val="443F32FA"/>
    <w:rsid w:val="44433E87"/>
    <w:rsid w:val="44562E10"/>
    <w:rsid w:val="446E2CE6"/>
    <w:rsid w:val="44704B0A"/>
    <w:rsid w:val="447119F7"/>
    <w:rsid w:val="447E022A"/>
    <w:rsid w:val="44807DD3"/>
    <w:rsid w:val="44817267"/>
    <w:rsid w:val="449D459A"/>
    <w:rsid w:val="44A771C7"/>
    <w:rsid w:val="44CE0BF8"/>
    <w:rsid w:val="44D40060"/>
    <w:rsid w:val="44DF4BB3"/>
    <w:rsid w:val="44E26451"/>
    <w:rsid w:val="45013506"/>
    <w:rsid w:val="450468CF"/>
    <w:rsid w:val="45124F88"/>
    <w:rsid w:val="45127C03"/>
    <w:rsid w:val="451A3E3D"/>
    <w:rsid w:val="451E1B7F"/>
    <w:rsid w:val="451F3201"/>
    <w:rsid w:val="4521341D"/>
    <w:rsid w:val="45246A6A"/>
    <w:rsid w:val="4545710C"/>
    <w:rsid w:val="454C400F"/>
    <w:rsid w:val="454D0082"/>
    <w:rsid w:val="45505AB1"/>
    <w:rsid w:val="455B0133"/>
    <w:rsid w:val="455C6204"/>
    <w:rsid w:val="45621D5B"/>
    <w:rsid w:val="45717CEA"/>
    <w:rsid w:val="458962E8"/>
    <w:rsid w:val="458A2D71"/>
    <w:rsid w:val="45943BEF"/>
    <w:rsid w:val="45961498"/>
    <w:rsid w:val="45A409ED"/>
    <w:rsid w:val="45A961E4"/>
    <w:rsid w:val="45B521CA"/>
    <w:rsid w:val="45B918A8"/>
    <w:rsid w:val="45C36283"/>
    <w:rsid w:val="45C94DCF"/>
    <w:rsid w:val="45E701C3"/>
    <w:rsid w:val="45ED3300"/>
    <w:rsid w:val="45F14B9E"/>
    <w:rsid w:val="45F4263A"/>
    <w:rsid w:val="45F428E0"/>
    <w:rsid w:val="46032B23"/>
    <w:rsid w:val="461D1E37"/>
    <w:rsid w:val="46230EAE"/>
    <w:rsid w:val="463902F3"/>
    <w:rsid w:val="465810C1"/>
    <w:rsid w:val="465E6349"/>
    <w:rsid w:val="467632F5"/>
    <w:rsid w:val="468561CA"/>
    <w:rsid w:val="46900D01"/>
    <w:rsid w:val="46995F99"/>
    <w:rsid w:val="46A952BF"/>
    <w:rsid w:val="46AE6F33"/>
    <w:rsid w:val="46B21728"/>
    <w:rsid w:val="46B81B60"/>
    <w:rsid w:val="46C10A14"/>
    <w:rsid w:val="46CE19F8"/>
    <w:rsid w:val="46D324F5"/>
    <w:rsid w:val="46DE08D6"/>
    <w:rsid w:val="46E32B60"/>
    <w:rsid w:val="46E60E0B"/>
    <w:rsid w:val="46F00A38"/>
    <w:rsid w:val="47046B53"/>
    <w:rsid w:val="47076142"/>
    <w:rsid w:val="472246EA"/>
    <w:rsid w:val="472471F5"/>
    <w:rsid w:val="4726494B"/>
    <w:rsid w:val="472E5FDE"/>
    <w:rsid w:val="4730664C"/>
    <w:rsid w:val="47321912"/>
    <w:rsid w:val="473F5DDD"/>
    <w:rsid w:val="474D5AFC"/>
    <w:rsid w:val="475A6773"/>
    <w:rsid w:val="475F2220"/>
    <w:rsid w:val="47761CCA"/>
    <w:rsid w:val="47783DC3"/>
    <w:rsid w:val="47804307"/>
    <w:rsid w:val="47833F1C"/>
    <w:rsid w:val="4791398A"/>
    <w:rsid w:val="47977CDB"/>
    <w:rsid w:val="479A4CE8"/>
    <w:rsid w:val="479E529B"/>
    <w:rsid w:val="47B24801"/>
    <w:rsid w:val="47C748F7"/>
    <w:rsid w:val="47C84024"/>
    <w:rsid w:val="47EA4517"/>
    <w:rsid w:val="47F11685"/>
    <w:rsid w:val="47F55CAD"/>
    <w:rsid w:val="47F56383"/>
    <w:rsid w:val="48164C1B"/>
    <w:rsid w:val="481975E0"/>
    <w:rsid w:val="48276F9D"/>
    <w:rsid w:val="482E032B"/>
    <w:rsid w:val="483D40CA"/>
    <w:rsid w:val="486636F4"/>
    <w:rsid w:val="488E2D92"/>
    <w:rsid w:val="488F6425"/>
    <w:rsid w:val="48A713C7"/>
    <w:rsid w:val="48B028BF"/>
    <w:rsid w:val="48B7695A"/>
    <w:rsid w:val="48D569F9"/>
    <w:rsid w:val="48E24C72"/>
    <w:rsid w:val="48E25635"/>
    <w:rsid w:val="48E90DFD"/>
    <w:rsid w:val="48EB748D"/>
    <w:rsid w:val="48FF5824"/>
    <w:rsid w:val="49153299"/>
    <w:rsid w:val="491A3825"/>
    <w:rsid w:val="49217C44"/>
    <w:rsid w:val="49226D5E"/>
    <w:rsid w:val="49295527"/>
    <w:rsid w:val="49296D45"/>
    <w:rsid w:val="493406CD"/>
    <w:rsid w:val="49357497"/>
    <w:rsid w:val="49381DEE"/>
    <w:rsid w:val="493B2AC3"/>
    <w:rsid w:val="493D634C"/>
    <w:rsid w:val="49461077"/>
    <w:rsid w:val="49487EE6"/>
    <w:rsid w:val="494E3B36"/>
    <w:rsid w:val="49572810"/>
    <w:rsid w:val="49777AB0"/>
    <w:rsid w:val="497913CB"/>
    <w:rsid w:val="49816239"/>
    <w:rsid w:val="49845C45"/>
    <w:rsid w:val="498B3956"/>
    <w:rsid w:val="49965AEC"/>
    <w:rsid w:val="49AD34D2"/>
    <w:rsid w:val="49B91E77"/>
    <w:rsid w:val="49BC684D"/>
    <w:rsid w:val="49C1138B"/>
    <w:rsid w:val="49CB73F1"/>
    <w:rsid w:val="49CD76D0"/>
    <w:rsid w:val="49D07890"/>
    <w:rsid w:val="49DE1773"/>
    <w:rsid w:val="49E00517"/>
    <w:rsid w:val="49F50147"/>
    <w:rsid w:val="49F50FEC"/>
    <w:rsid w:val="49FC7FB5"/>
    <w:rsid w:val="49FD651A"/>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A059D7"/>
    <w:rsid w:val="4AB91D68"/>
    <w:rsid w:val="4AF34F14"/>
    <w:rsid w:val="4AFA62A3"/>
    <w:rsid w:val="4B047121"/>
    <w:rsid w:val="4B245A16"/>
    <w:rsid w:val="4B2C2366"/>
    <w:rsid w:val="4B2C3E78"/>
    <w:rsid w:val="4B3045F7"/>
    <w:rsid w:val="4B5005B9"/>
    <w:rsid w:val="4B5A179F"/>
    <w:rsid w:val="4B5E0F27"/>
    <w:rsid w:val="4B6603A8"/>
    <w:rsid w:val="4B7A5635"/>
    <w:rsid w:val="4B83273C"/>
    <w:rsid w:val="4B9366F7"/>
    <w:rsid w:val="4B9A1834"/>
    <w:rsid w:val="4BA07E7F"/>
    <w:rsid w:val="4BA27C1C"/>
    <w:rsid w:val="4BC464BA"/>
    <w:rsid w:val="4BD016F9"/>
    <w:rsid w:val="4BF13331"/>
    <w:rsid w:val="4BF5032D"/>
    <w:rsid w:val="4C013661"/>
    <w:rsid w:val="4C053F67"/>
    <w:rsid w:val="4C0C0983"/>
    <w:rsid w:val="4C115F9A"/>
    <w:rsid w:val="4C1B0BC7"/>
    <w:rsid w:val="4C1E06B7"/>
    <w:rsid w:val="4C2061DD"/>
    <w:rsid w:val="4C274801"/>
    <w:rsid w:val="4C371D6F"/>
    <w:rsid w:val="4C483579"/>
    <w:rsid w:val="4C4D2D4A"/>
    <w:rsid w:val="4C577725"/>
    <w:rsid w:val="4C5902C5"/>
    <w:rsid w:val="4C5E6D05"/>
    <w:rsid w:val="4C6822BE"/>
    <w:rsid w:val="4C740884"/>
    <w:rsid w:val="4C76436C"/>
    <w:rsid w:val="4C7F393E"/>
    <w:rsid w:val="4C92651F"/>
    <w:rsid w:val="4C9D6AA1"/>
    <w:rsid w:val="4CAB698A"/>
    <w:rsid w:val="4CAC585D"/>
    <w:rsid w:val="4CAC77BE"/>
    <w:rsid w:val="4CCF19B1"/>
    <w:rsid w:val="4CD46FC7"/>
    <w:rsid w:val="4CD80866"/>
    <w:rsid w:val="4CE30085"/>
    <w:rsid w:val="4CE92A73"/>
    <w:rsid w:val="4CEC3B68"/>
    <w:rsid w:val="4CF83C05"/>
    <w:rsid w:val="4CF8639A"/>
    <w:rsid w:val="4CFE5DF2"/>
    <w:rsid w:val="4D225F85"/>
    <w:rsid w:val="4D350BCF"/>
    <w:rsid w:val="4D3D4B6D"/>
    <w:rsid w:val="4D423F31"/>
    <w:rsid w:val="4D483928"/>
    <w:rsid w:val="4D5A3970"/>
    <w:rsid w:val="4D5F65A9"/>
    <w:rsid w:val="4D686888"/>
    <w:rsid w:val="4D6B3488"/>
    <w:rsid w:val="4D715F4A"/>
    <w:rsid w:val="4D740170"/>
    <w:rsid w:val="4D92310A"/>
    <w:rsid w:val="4DA1378E"/>
    <w:rsid w:val="4DBC1F35"/>
    <w:rsid w:val="4DBC60D7"/>
    <w:rsid w:val="4DCB68F7"/>
    <w:rsid w:val="4DCE6352"/>
    <w:rsid w:val="4DD3727F"/>
    <w:rsid w:val="4DDF79D2"/>
    <w:rsid w:val="4DE81C5E"/>
    <w:rsid w:val="4DF05F69"/>
    <w:rsid w:val="4DF95127"/>
    <w:rsid w:val="4DFF4C65"/>
    <w:rsid w:val="4E0E5AF7"/>
    <w:rsid w:val="4E2F6BAB"/>
    <w:rsid w:val="4E3D564E"/>
    <w:rsid w:val="4E5E123E"/>
    <w:rsid w:val="4E93713A"/>
    <w:rsid w:val="4E9A0D30"/>
    <w:rsid w:val="4E9B5FEF"/>
    <w:rsid w:val="4EB40E5E"/>
    <w:rsid w:val="4EB726FD"/>
    <w:rsid w:val="4EBF2070"/>
    <w:rsid w:val="4EC72940"/>
    <w:rsid w:val="4ED67B50"/>
    <w:rsid w:val="4ED96BA4"/>
    <w:rsid w:val="4EDE412D"/>
    <w:rsid w:val="4EE03B24"/>
    <w:rsid w:val="4EE2777A"/>
    <w:rsid w:val="4F043B94"/>
    <w:rsid w:val="4F1418FD"/>
    <w:rsid w:val="4F195E60"/>
    <w:rsid w:val="4F5B577E"/>
    <w:rsid w:val="4F6463E1"/>
    <w:rsid w:val="4F6E3703"/>
    <w:rsid w:val="4F7C2AC3"/>
    <w:rsid w:val="4F912F4E"/>
    <w:rsid w:val="4FA15035"/>
    <w:rsid w:val="4FA56133"/>
    <w:rsid w:val="4FA638E6"/>
    <w:rsid w:val="4FA91930"/>
    <w:rsid w:val="4FB64D53"/>
    <w:rsid w:val="4FC275AB"/>
    <w:rsid w:val="4FCC3F86"/>
    <w:rsid w:val="4FDD43E5"/>
    <w:rsid w:val="4FE614EB"/>
    <w:rsid w:val="4FEE03A0"/>
    <w:rsid w:val="4FFF6109"/>
    <w:rsid w:val="500656EA"/>
    <w:rsid w:val="500876B4"/>
    <w:rsid w:val="500A222F"/>
    <w:rsid w:val="500F0A42"/>
    <w:rsid w:val="5019541D"/>
    <w:rsid w:val="501D030A"/>
    <w:rsid w:val="50306C0B"/>
    <w:rsid w:val="50334EF9"/>
    <w:rsid w:val="503C110B"/>
    <w:rsid w:val="503E1C80"/>
    <w:rsid w:val="50485192"/>
    <w:rsid w:val="504F5199"/>
    <w:rsid w:val="5059653D"/>
    <w:rsid w:val="506A12AA"/>
    <w:rsid w:val="506A3ECB"/>
    <w:rsid w:val="506B379F"/>
    <w:rsid w:val="508A631B"/>
    <w:rsid w:val="508B59EE"/>
    <w:rsid w:val="509F5BB5"/>
    <w:rsid w:val="50D92DFE"/>
    <w:rsid w:val="50DC0D59"/>
    <w:rsid w:val="50E46C80"/>
    <w:rsid w:val="50E517A3"/>
    <w:rsid w:val="50E747F3"/>
    <w:rsid w:val="50ED0658"/>
    <w:rsid w:val="50EE10DE"/>
    <w:rsid w:val="50F43882"/>
    <w:rsid w:val="50F86314"/>
    <w:rsid w:val="510776AF"/>
    <w:rsid w:val="511A58F1"/>
    <w:rsid w:val="511D256C"/>
    <w:rsid w:val="5139389D"/>
    <w:rsid w:val="514106BE"/>
    <w:rsid w:val="51431A8C"/>
    <w:rsid w:val="51443F69"/>
    <w:rsid w:val="5187446D"/>
    <w:rsid w:val="518D741E"/>
    <w:rsid w:val="518E2DCE"/>
    <w:rsid w:val="51944027"/>
    <w:rsid w:val="519531C9"/>
    <w:rsid w:val="51B7313F"/>
    <w:rsid w:val="51BD627C"/>
    <w:rsid w:val="51BF0246"/>
    <w:rsid w:val="51C13FBE"/>
    <w:rsid w:val="51CF5BD5"/>
    <w:rsid w:val="51E1640E"/>
    <w:rsid w:val="51E67581"/>
    <w:rsid w:val="51EB103B"/>
    <w:rsid w:val="51FB0B52"/>
    <w:rsid w:val="52057F80"/>
    <w:rsid w:val="52650DED"/>
    <w:rsid w:val="526E11F2"/>
    <w:rsid w:val="526E7576"/>
    <w:rsid w:val="52715B58"/>
    <w:rsid w:val="5276017A"/>
    <w:rsid w:val="5287795E"/>
    <w:rsid w:val="528A2602"/>
    <w:rsid w:val="528A7530"/>
    <w:rsid w:val="528F6BDC"/>
    <w:rsid w:val="52941275"/>
    <w:rsid w:val="52AD1515"/>
    <w:rsid w:val="52BF6315"/>
    <w:rsid w:val="52C50972"/>
    <w:rsid w:val="52CF44B9"/>
    <w:rsid w:val="52D63A99"/>
    <w:rsid w:val="52E066C6"/>
    <w:rsid w:val="52E1212C"/>
    <w:rsid w:val="52E410BC"/>
    <w:rsid w:val="52E9096C"/>
    <w:rsid w:val="52ED287F"/>
    <w:rsid w:val="52FF4294"/>
    <w:rsid w:val="530B4BE6"/>
    <w:rsid w:val="531567D7"/>
    <w:rsid w:val="53220A8C"/>
    <w:rsid w:val="532C36B9"/>
    <w:rsid w:val="533B52F7"/>
    <w:rsid w:val="533B5E49"/>
    <w:rsid w:val="5349426B"/>
    <w:rsid w:val="53503320"/>
    <w:rsid w:val="535A5ACE"/>
    <w:rsid w:val="535C0E74"/>
    <w:rsid w:val="535D2E60"/>
    <w:rsid w:val="535D7D17"/>
    <w:rsid w:val="535E561C"/>
    <w:rsid w:val="536746F1"/>
    <w:rsid w:val="5382152B"/>
    <w:rsid w:val="53835026"/>
    <w:rsid w:val="5386726D"/>
    <w:rsid w:val="53B4646A"/>
    <w:rsid w:val="53B70C98"/>
    <w:rsid w:val="53BD2563"/>
    <w:rsid w:val="53C9479B"/>
    <w:rsid w:val="53CF21C3"/>
    <w:rsid w:val="53E43F94"/>
    <w:rsid w:val="53F65E3A"/>
    <w:rsid w:val="53FA7313"/>
    <w:rsid w:val="54211DC7"/>
    <w:rsid w:val="542813F0"/>
    <w:rsid w:val="542B3971"/>
    <w:rsid w:val="542B571F"/>
    <w:rsid w:val="542D40CD"/>
    <w:rsid w:val="542E3461"/>
    <w:rsid w:val="54324CFF"/>
    <w:rsid w:val="5439265D"/>
    <w:rsid w:val="543F3434"/>
    <w:rsid w:val="543F566E"/>
    <w:rsid w:val="544229A0"/>
    <w:rsid w:val="54525319"/>
    <w:rsid w:val="545C3B2A"/>
    <w:rsid w:val="54660E4D"/>
    <w:rsid w:val="547215A0"/>
    <w:rsid w:val="5475243A"/>
    <w:rsid w:val="54754BEC"/>
    <w:rsid w:val="548521D1"/>
    <w:rsid w:val="54880DC3"/>
    <w:rsid w:val="548F31AF"/>
    <w:rsid w:val="5495762B"/>
    <w:rsid w:val="54B73456"/>
    <w:rsid w:val="54BE6593"/>
    <w:rsid w:val="54CB0CB0"/>
    <w:rsid w:val="54CC5154"/>
    <w:rsid w:val="54D5147C"/>
    <w:rsid w:val="54E70C00"/>
    <w:rsid w:val="54E87AB4"/>
    <w:rsid w:val="54FC530D"/>
    <w:rsid w:val="5503044A"/>
    <w:rsid w:val="550B5550"/>
    <w:rsid w:val="55264138"/>
    <w:rsid w:val="552F7491"/>
    <w:rsid w:val="553272E3"/>
    <w:rsid w:val="55466485"/>
    <w:rsid w:val="554967A4"/>
    <w:rsid w:val="555E784F"/>
    <w:rsid w:val="55713A97"/>
    <w:rsid w:val="55871DA6"/>
    <w:rsid w:val="55876190"/>
    <w:rsid w:val="558D19DD"/>
    <w:rsid w:val="559C3432"/>
    <w:rsid w:val="55A27C63"/>
    <w:rsid w:val="55AC6D33"/>
    <w:rsid w:val="55D3455F"/>
    <w:rsid w:val="55D6790C"/>
    <w:rsid w:val="55D80B1F"/>
    <w:rsid w:val="55DC70F4"/>
    <w:rsid w:val="55EA2C7C"/>
    <w:rsid w:val="560A591A"/>
    <w:rsid w:val="561D1627"/>
    <w:rsid w:val="56317B21"/>
    <w:rsid w:val="56351736"/>
    <w:rsid w:val="563C11AF"/>
    <w:rsid w:val="564000A1"/>
    <w:rsid w:val="56484A62"/>
    <w:rsid w:val="56494582"/>
    <w:rsid w:val="564C7024"/>
    <w:rsid w:val="56551179"/>
    <w:rsid w:val="56605A87"/>
    <w:rsid w:val="56710CDC"/>
    <w:rsid w:val="56764C4B"/>
    <w:rsid w:val="56797409"/>
    <w:rsid w:val="567C0AA8"/>
    <w:rsid w:val="56837A94"/>
    <w:rsid w:val="568E6439"/>
    <w:rsid w:val="569577C7"/>
    <w:rsid w:val="56A33C92"/>
    <w:rsid w:val="56A60ACB"/>
    <w:rsid w:val="56A62B21"/>
    <w:rsid w:val="56C63E25"/>
    <w:rsid w:val="56CC6E9E"/>
    <w:rsid w:val="56D34B79"/>
    <w:rsid w:val="56D976B4"/>
    <w:rsid w:val="56E36785"/>
    <w:rsid w:val="56E51E92"/>
    <w:rsid w:val="56E570C5"/>
    <w:rsid w:val="56EB5639"/>
    <w:rsid w:val="56FB3ACE"/>
    <w:rsid w:val="56FE672C"/>
    <w:rsid w:val="57186D0C"/>
    <w:rsid w:val="571E77BD"/>
    <w:rsid w:val="57275D5E"/>
    <w:rsid w:val="572C48E8"/>
    <w:rsid w:val="572D5C52"/>
    <w:rsid w:val="573E7343"/>
    <w:rsid w:val="573E7E5F"/>
    <w:rsid w:val="57407733"/>
    <w:rsid w:val="57454D4A"/>
    <w:rsid w:val="57462870"/>
    <w:rsid w:val="574C432A"/>
    <w:rsid w:val="57514029"/>
    <w:rsid w:val="57541EFF"/>
    <w:rsid w:val="57595348"/>
    <w:rsid w:val="575E3F98"/>
    <w:rsid w:val="575E405D"/>
    <w:rsid w:val="576A0FE7"/>
    <w:rsid w:val="577949F3"/>
    <w:rsid w:val="57833440"/>
    <w:rsid w:val="57874208"/>
    <w:rsid w:val="57882019"/>
    <w:rsid w:val="57896AD2"/>
    <w:rsid w:val="578D2120"/>
    <w:rsid w:val="579161E1"/>
    <w:rsid w:val="579D4947"/>
    <w:rsid w:val="57AE6D93"/>
    <w:rsid w:val="57B23877"/>
    <w:rsid w:val="57B36157"/>
    <w:rsid w:val="57B93A8A"/>
    <w:rsid w:val="57BB122C"/>
    <w:rsid w:val="57C02622"/>
    <w:rsid w:val="57C06AC6"/>
    <w:rsid w:val="57CF249D"/>
    <w:rsid w:val="57E0551D"/>
    <w:rsid w:val="57EC0EEF"/>
    <w:rsid w:val="57F329F7"/>
    <w:rsid w:val="57F93398"/>
    <w:rsid w:val="57FA1FD8"/>
    <w:rsid w:val="58022C3B"/>
    <w:rsid w:val="580A14C1"/>
    <w:rsid w:val="58247055"/>
    <w:rsid w:val="58262B79"/>
    <w:rsid w:val="5837339B"/>
    <w:rsid w:val="583C31B4"/>
    <w:rsid w:val="5844246E"/>
    <w:rsid w:val="584C4556"/>
    <w:rsid w:val="58507E4A"/>
    <w:rsid w:val="58586CFE"/>
    <w:rsid w:val="587633F2"/>
    <w:rsid w:val="587D121C"/>
    <w:rsid w:val="589C2FF6"/>
    <w:rsid w:val="589D45C8"/>
    <w:rsid w:val="58AB1524"/>
    <w:rsid w:val="58AC2BA6"/>
    <w:rsid w:val="58AD5CF4"/>
    <w:rsid w:val="58BD6B62"/>
    <w:rsid w:val="58BF6D7E"/>
    <w:rsid w:val="58C20FD6"/>
    <w:rsid w:val="58CD1431"/>
    <w:rsid w:val="58CE4F11"/>
    <w:rsid w:val="58F509F1"/>
    <w:rsid w:val="590C52A5"/>
    <w:rsid w:val="59154BEF"/>
    <w:rsid w:val="5915699E"/>
    <w:rsid w:val="59342755"/>
    <w:rsid w:val="59380DF6"/>
    <w:rsid w:val="593C3F2A"/>
    <w:rsid w:val="595C141C"/>
    <w:rsid w:val="59635DF5"/>
    <w:rsid w:val="59663EAA"/>
    <w:rsid w:val="596D0588"/>
    <w:rsid w:val="5973234B"/>
    <w:rsid w:val="597F12EA"/>
    <w:rsid w:val="59843F7F"/>
    <w:rsid w:val="59853CC1"/>
    <w:rsid w:val="5991071A"/>
    <w:rsid w:val="59945B14"/>
    <w:rsid w:val="59A45FA0"/>
    <w:rsid w:val="59A541C5"/>
    <w:rsid w:val="59AD05EC"/>
    <w:rsid w:val="59B02563"/>
    <w:rsid w:val="59BD666F"/>
    <w:rsid w:val="59CF532A"/>
    <w:rsid w:val="59D40607"/>
    <w:rsid w:val="59D506A7"/>
    <w:rsid w:val="59DA5583"/>
    <w:rsid w:val="59F207FC"/>
    <w:rsid w:val="59F56B45"/>
    <w:rsid w:val="59FC2729"/>
    <w:rsid w:val="5A026F22"/>
    <w:rsid w:val="5A0A0C13"/>
    <w:rsid w:val="5A107D37"/>
    <w:rsid w:val="5A186745"/>
    <w:rsid w:val="5A1B76FE"/>
    <w:rsid w:val="5A236E98"/>
    <w:rsid w:val="5A2B7280"/>
    <w:rsid w:val="5A2D2912"/>
    <w:rsid w:val="5A2E41BB"/>
    <w:rsid w:val="5A384871"/>
    <w:rsid w:val="5A427B89"/>
    <w:rsid w:val="5A475F85"/>
    <w:rsid w:val="5A496136"/>
    <w:rsid w:val="5A4E3522"/>
    <w:rsid w:val="5A551748"/>
    <w:rsid w:val="5A5A4FB0"/>
    <w:rsid w:val="5A5C0D28"/>
    <w:rsid w:val="5A6341E0"/>
    <w:rsid w:val="5A8E4B76"/>
    <w:rsid w:val="5A9A35FE"/>
    <w:rsid w:val="5AA1673B"/>
    <w:rsid w:val="5ABC4F4B"/>
    <w:rsid w:val="5AC51A45"/>
    <w:rsid w:val="5AC76E41"/>
    <w:rsid w:val="5AD36B10"/>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5F2152"/>
    <w:rsid w:val="5B6A1223"/>
    <w:rsid w:val="5B8878FB"/>
    <w:rsid w:val="5B915AB8"/>
    <w:rsid w:val="5B962018"/>
    <w:rsid w:val="5B9A06E1"/>
    <w:rsid w:val="5BAD57B7"/>
    <w:rsid w:val="5BB029AE"/>
    <w:rsid w:val="5BBA55DA"/>
    <w:rsid w:val="5BBB690A"/>
    <w:rsid w:val="5BBE0EDC"/>
    <w:rsid w:val="5BCB77E7"/>
    <w:rsid w:val="5BD60666"/>
    <w:rsid w:val="5BF31966"/>
    <w:rsid w:val="5C174686"/>
    <w:rsid w:val="5C225CD5"/>
    <w:rsid w:val="5C2A57D9"/>
    <w:rsid w:val="5C2A6C04"/>
    <w:rsid w:val="5C2F4E74"/>
    <w:rsid w:val="5C3057F6"/>
    <w:rsid w:val="5C3D3477"/>
    <w:rsid w:val="5C491EA8"/>
    <w:rsid w:val="5C4F0418"/>
    <w:rsid w:val="5C514191"/>
    <w:rsid w:val="5C563555"/>
    <w:rsid w:val="5C5D4917"/>
    <w:rsid w:val="5C5F68E2"/>
    <w:rsid w:val="5C677510"/>
    <w:rsid w:val="5C6E6DAF"/>
    <w:rsid w:val="5C76087C"/>
    <w:rsid w:val="5C78796F"/>
    <w:rsid w:val="5C7B2FBB"/>
    <w:rsid w:val="5C7C1D43"/>
    <w:rsid w:val="5C8E0F41"/>
    <w:rsid w:val="5C903D98"/>
    <w:rsid w:val="5C9931AA"/>
    <w:rsid w:val="5C9C495A"/>
    <w:rsid w:val="5CB07109"/>
    <w:rsid w:val="5CB23A9A"/>
    <w:rsid w:val="5CB70498"/>
    <w:rsid w:val="5CBF734C"/>
    <w:rsid w:val="5CCE41E1"/>
    <w:rsid w:val="5CD64696"/>
    <w:rsid w:val="5CDC17D1"/>
    <w:rsid w:val="5CE97C39"/>
    <w:rsid w:val="5D0154A8"/>
    <w:rsid w:val="5D104090"/>
    <w:rsid w:val="5D110251"/>
    <w:rsid w:val="5D121F6A"/>
    <w:rsid w:val="5D123920"/>
    <w:rsid w:val="5D245401"/>
    <w:rsid w:val="5D297F84"/>
    <w:rsid w:val="5D3A69D3"/>
    <w:rsid w:val="5D3E4715"/>
    <w:rsid w:val="5D4B54DD"/>
    <w:rsid w:val="5D537A94"/>
    <w:rsid w:val="5D5A1F51"/>
    <w:rsid w:val="5D5C4B9B"/>
    <w:rsid w:val="5D6C5CDF"/>
    <w:rsid w:val="5D79399F"/>
    <w:rsid w:val="5D940E44"/>
    <w:rsid w:val="5D9D12F5"/>
    <w:rsid w:val="5DBC1ADE"/>
    <w:rsid w:val="5DBC4D87"/>
    <w:rsid w:val="5DD862B5"/>
    <w:rsid w:val="5DDB1F64"/>
    <w:rsid w:val="5DDD455F"/>
    <w:rsid w:val="5DE96998"/>
    <w:rsid w:val="5DF50B4C"/>
    <w:rsid w:val="5DFE30F3"/>
    <w:rsid w:val="5E0F7E5F"/>
    <w:rsid w:val="5E127950"/>
    <w:rsid w:val="5E1B5087"/>
    <w:rsid w:val="5E40626B"/>
    <w:rsid w:val="5E4B02DD"/>
    <w:rsid w:val="5E664BC1"/>
    <w:rsid w:val="5E6E102A"/>
    <w:rsid w:val="5E710B1A"/>
    <w:rsid w:val="5E7640E5"/>
    <w:rsid w:val="5E7D72BD"/>
    <w:rsid w:val="5E7F4FE5"/>
    <w:rsid w:val="5EA734E4"/>
    <w:rsid w:val="5EBB7FE7"/>
    <w:rsid w:val="5EC677DA"/>
    <w:rsid w:val="5ED25D32"/>
    <w:rsid w:val="5EDF089E"/>
    <w:rsid w:val="5EEC63F2"/>
    <w:rsid w:val="5EF32BB6"/>
    <w:rsid w:val="5EF35656"/>
    <w:rsid w:val="5EF534F9"/>
    <w:rsid w:val="5F004363"/>
    <w:rsid w:val="5F04373C"/>
    <w:rsid w:val="5F0C67C2"/>
    <w:rsid w:val="5F42431A"/>
    <w:rsid w:val="5F5547AB"/>
    <w:rsid w:val="5F571475"/>
    <w:rsid w:val="5F5D0FE7"/>
    <w:rsid w:val="5F5F0C28"/>
    <w:rsid w:val="5F661D01"/>
    <w:rsid w:val="5F6C347F"/>
    <w:rsid w:val="5F7B42E3"/>
    <w:rsid w:val="5F7C072B"/>
    <w:rsid w:val="5F954394"/>
    <w:rsid w:val="5FA016B7"/>
    <w:rsid w:val="5FA56CCD"/>
    <w:rsid w:val="5FAD45A1"/>
    <w:rsid w:val="5FB23198"/>
    <w:rsid w:val="5FB24F46"/>
    <w:rsid w:val="5FB64290"/>
    <w:rsid w:val="5FC25EEC"/>
    <w:rsid w:val="5FCE4022"/>
    <w:rsid w:val="5FDC1FC3"/>
    <w:rsid w:val="5FE86BBA"/>
    <w:rsid w:val="5FFE1F39"/>
    <w:rsid w:val="5FFE63DD"/>
    <w:rsid w:val="60003F04"/>
    <w:rsid w:val="600B7F5A"/>
    <w:rsid w:val="600C0AFA"/>
    <w:rsid w:val="6029154D"/>
    <w:rsid w:val="60353F9F"/>
    <w:rsid w:val="60365B77"/>
    <w:rsid w:val="60421227"/>
    <w:rsid w:val="604A33D1"/>
    <w:rsid w:val="604C0EF7"/>
    <w:rsid w:val="60580955"/>
    <w:rsid w:val="60614D83"/>
    <w:rsid w:val="60632AE9"/>
    <w:rsid w:val="607408A0"/>
    <w:rsid w:val="607A2BF6"/>
    <w:rsid w:val="607C676C"/>
    <w:rsid w:val="608F1F1C"/>
    <w:rsid w:val="60A056E7"/>
    <w:rsid w:val="60AD570E"/>
    <w:rsid w:val="60B160EF"/>
    <w:rsid w:val="60BA6DD7"/>
    <w:rsid w:val="60C1245D"/>
    <w:rsid w:val="60C50CA9"/>
    <w:rsid w:val="60C65C41"/>
    <w:rsid w:val="60CC2038"/>
    <w:rsid w:val="60D12A29"/>
    <w:rsid w:val="60D204EC"/>
    <w:rsid w:val="60D40EEC"/>
    <w:rsid w:val="60D47616"/>
    <w:rsid w:val="60DB312E"/>
    <w:rsid w:val="60E554D5"/>
    <w:rsid w:val="60FA4CF8"/>
    <w:rsid w:val="60FE1827"/>
    <w:rsid w:val="6106379C"/>
    <w:rsid w:val="611C2337"/>
    <w:rsid w:val="611E6C3B"/>
    <w:rsid w:val="612D5EC3"/>
    <w:rsid w:val="613E1E53"/>
    <w:rsid w:val="614222A6"/>
    <w:rsid w:val="61493688"/>
    <w:rsid w:val="614F0FD2"/>
    <w:rsid w:val="615D5386"/>
    <w:rsid w:val="6162299C"/>
    <w:rsid w:val="617A5F38"/>
    <w:rsid w:val="618A7AAC"/>
    <w:rsid w:val="619F599E"/>
    <w:rsid w:val="61A31DFF"/>
    <w:rsid w:val="61AB32F6"/>
    <w:rsid w:val="61B054B5"/>
    <w:rsid w:val="61BC3E5A"/>
    <w:rsid w:val="61D07906"/>
    <w:rsid w:val="61DC68BA"/>
    <w:rsid w:val="61E237BA"/>
    <w:rsid w:val="61EF2482"/>
    <w:rsid w:val="61F04BA2"/>
    <w:rsid w:val="61F651DA"/>
    <w:rsid w:val="6201317C"/>
    <w:rsid w:val="62145393"/>
    <w:rsid w:val="621F43E9"/>
    <w:rsid w:val="622539B8"/>
    <w:rsid w:val="62282D18"/>
    <w:rsid w:val="622F0AD0"/>
    <w:rsid w:val="62314848"/>
    <w:rsid w:val="62344338"/>
    <w:rsid w:val="624502F4"/>
    <w:rsid w:val="624B51DE"/>
    <w:rsid w:val="624D4635"/>
    <w:rsid w:val="62570027"/>
    <w:rsid w:val="625D388F"/>
    <w:rsid w:val="62606EDB"/>
    <w:rsid w:val="62732569"/>
    <w:rsid w:val="6284568A"/>
    <w:rsid w:val="62896F64"/>
    <w:rsid w:val="628B41FB"/>
    <w:rsid w:val="628C7CD0"/>
    <w:rsid w:val="62976675"/>
    <w:rsid w:val="62A07565"/>
    <w:rsid w:val="62A91FE3"/>
    <w:rsid w:val="62B10B65"/>
    <w:rsid w:val="62BF1942"/>
    <w:rsid w:val="62BF65FF"/>
    <w:rsid w:val="62C51434"/>
    <w:rsid w:val="62C751AC"/>
    <w:rsid w:val="62C7680A"/>
    <w:rsid w:val="62CD4B88"/>
    <w:rsid w:val="62CF0EC4"/>
    <w:rsid w:val="62D624B7"/>
    <w:rsid w:val="62E05C2A"/>
    <w:rsid w:val="62EC01DA"/>
    <w:rsid w:val="62F835B8"/>
    <w:rsid w:val="62FD1F6E"/>
    <w:rsid w:val="632B2E03"/>
    <w:rsid w:val="633210E0"/>
    <w:rsid w:val="63384056"/>
    <w:rsid w:val="63387E58"/>
    <w:rsid w:val="633B5253"/>
    <w:rsid w:val="635A3B41"/>
    <w:rsid w:val="636D0083"/>
    <w:rsid w:val="63723C6C"/>
    <w:rsid w:val="6373422E"/>
    <w:rsid w:val="637C5F97"/>
    <w:rsid w:val="637F7129"/>
    <w:rsid w:val="63895E98"/>
    <w:rsid w:val="638D69A9"/>
    <w:rsid w:val="638E47A4"/>
    <w:rsid w:val="63934D50"/>
    <w:rsid w:val="639363A9"/>
    <w:rsid w:val="63950E07"/>
    <w:rsid w:val="63981CEA"/>
    <w:rsid w:val="639A10B9"/>
    <w:rsid w:val="63AA1959"/>
    <w:rsid w:val="63DB6FFF"/>
    <w:rsid w:val="63E37DC4"/>
    <w:rsid w:val="63E87188"/>
    <w:rsid w:val="63F975E8"/>
    <w:rsid w:val="63FF44D2"/>
    <w:rsid w:val="640E7BEC"/>
    <w:rsid w:val="64191A38"/>
    <w:rsid w:val="64285209"/>
    <w:rsid w:val="643B228F"/>
    <w:rsid w:val="643C28AA"/>
    <w:rsid w:val="643C6545"/>
    <w:rsid w:val="64453D1C"/>
    <w:rsid w:val="6470078E"/>
    <w:rsid w:val="6473477D"/>
    <w:rsid w:val="647C34E7"/>
    <w:rsid w:val="649716A0"/>
    <w:rsid w:val="649D4417"/>
    <w:rsid w:val="64A77044"/>
    <w:rsid w:val="64B13A1E"/>
    <w:rsid w:val="64B44539"/>
    <w:rsid w:val="64D616D7"/>
    <w:rsid w:val="64D8544F"/>
    <w:rsid w:val="65030BBD"/>
    <w:rsid w:val="650C1BD9"/>
    <w:rsid w:val="651B358E"/>
    <w:rsid w:val="652414F0"/>
    <w:rsid w:val="6524497B"/>
    <w:rsid w:val="653308D7"/>
    <w:rsid w:val="653A493C"/>
    <w:rsid w:val="653F1EFC"/>
    <w:rsid w:val="65426D6C"/>
    <w:rsid w:val="65512720"/>
    <w:rsid w:val="65615E7B"/>
    <w:rsid w:val="656B62C3"/>
    <w:rsid w:val="656C3DE9"/>
    <w:rsid w:val="65735926"/>
    <w:rsid w:val="65742DBF"/>
    <w:rsid w:val="657A6506"/>
    <w:rsid w:val="65816E9E"/>
    <w:rsid w:val="65886E23"/>
    <w:rsid w:val="65995477"/>
    <w:rsid w:val="659C34FD"/>
    <w:rsid w:val="659F3FC6"/>
    <w:rsid w:val="65A9491F"/>
    <w:rsid w:val="65BD4645"/>
    <w:rsid w:val="65BE5A65"/>
    <w:rsid w:val="65BF2DAE"/>
    <w:rsid w:val="65C5796B"/>
    <w:rsid w:val="65C65686"/>
    <w:rsid w:val="65DE4CE7"/>
    <w:rsid w:val="65E63D8F"/>
    <w:rsid w:val="65F8567D"/>
    <w:rsid w:val="66037DFB"/>
    <w:rsid w:val="66164583"/>
    <w:rsid w:val="661701F9"/>
    <w:rsid w:val="66271AA6"/>
    <w:rsid w:val="66324ABD"/>
    <w:rsid w:val="66342B59"/>
    <w:rsid w:val="663C1A0D"/>
    <w:rsid w:val="66486604"/>
    <w:rsid w:val="66547382"/>
    <w:rsid w:val="66680A54"/>
    <w:rsid w:val="66725EC6"/>
    <w:rsid w:val="66732065"/>
    <w:rsid w:val="667D6E71"/>
    <w:rsid w:val="66930440"/>
    <w:rsid w:val="66935328"/>
    <w:rsid w:val="66995558"/>
    <w:rsid w:val="669A287A"/>
    <w:rsid w:val="669E707D"/>
    <w:rsid w:val="66A72624"/>
    <w:rsid w:val="66B40AC3"/>
    <w:rsid w:val="66D76F8A"/>
    <w:rsid w:val="66E16111"/>
    <w:rsid w:val="66E81BE1"/>
    <w:rsid w:val="66E845EE"/>
    <w:rsid w:val="66F06CD8"/>
    <w:rsid w:val="6711019E"/>
    <w:rsid w:val="671F5ADA"/>
    <w:rsid w:val="673B3A73"/>
    <w:rsid w:val="67530DBD"/>
    <w:rsid w:val="6759214B"/>
    <w:rsid w:val="677553E5"/>
    <w:rsid w:val="67900263"/>
    <w:rsid w:val="67A61834"/>
    <w:rsid w:val="67B04461"/>
    <w:rsid w:val="67B0620F"/>
    <w:rsid w:val="67B374C4"/>
    <w:rsid w:val="67B52764"/>
    <w:rsid w:val="67B75622"/>
    <w:rsid w:val="67EB36EB"/>
    <w:rsid w:val="67F26828"/>
    <w:rsid w:val="67FB3202"/>
    <w:rsid w:val="67FE0BBC"/>
    <w:rsid w:val="68071BA7"/>
    <w:rsid w:val="680A0F7E"/>
    <w:rsid w:val="680F32C3"/>
    <w:rsid w:val="68104F00"/>
    <w:rsid w:val="68190258"/>
    <w:rsid w:val="682E35D8"/>
    <w:rsid w:val="68310B99"/>
    <w:rsid w:val="68342BAE"/>
    <w:rsid w:val="683E1A6D"/>
    <w:rsid w:val="68437083"/>
    <w:rsid w:val="684A6664"/>
    <w:rsid w:val="68564350"/>
    <w:rsid w:val="68570DF0"/>
    <w:rsid w:val="685F3791"/>
    <w:rsid w:val="688F7E36"/>
    <w:rsid w:val="68950390"/>
    <w:rsid w:val="689E1D43"/>
    <w:rsid w:val="689E6CEC"/>
    <w:rsid w:val="68AE30C5"/>
    <w:rsid w:val="68BA4C16"/>
    <w:rsid w:val="68BC6E36"/>
    <w:rsid w:val="68C006D4"/>
    <w:rsid w:val="68C1269E"/>
    <w:rsid w:val="68DD0195"/>
    <w:rsid w:val="68DE4FFE"/>
    <w:rsid w:val="68E51EE8"/>
    <w:rsid w:val="68E72104"/>
    <w:rsid w:val="68F80B7D"/>
    <w:rsid w:val="69063CCD"/>
    <w:rsid w:val="69107F50"/>
    <w:rsid w:val="69132EFA"/>
    <w:rsid w:val="69190A3A"/>
    <w:rsid w:val="69196036"/>
    <w:rsid w:val="6922313D"/>
    <w:rsid w:val="6941584C"/>
    <w:rsid w:val="694A4441"/>
    <w:rsid w:val="694B1C98"/>
    <w:rsid w:val="694F2F3C"/>
    <w:rsid w:val="695263D9"/>
    <w:rsid w:val="6962178B"/>
    <w:rsid w:val="69694756"/>
    <w:rsid w:val="696C43B8"/>
    <w:rsid w:val="696F3EA8"/>
    <w:rsid w:val="697A596B"/>
    <w:rsid w:val="698906F6"/>
    <w:rsid w:val="69931944"/>
    <w:rsid w:val="699B4C9D"/>
    <w:rsid w:val="69B024A2"/>
    <w:rsid w:val="69C75A92"/>
    <w:rsid w:val="69CF3426"/>
    <w:rsid w:val="69D937B9"/>
    <w:rsid w:val="69E2467A"/>
    <w:rsid w:val="69EA26B3"/>
    <w:rsid w:val="6A036897"/>
    <w:rsid w:val="6A3248AB"/>
    <w:rsid w:val="6A3F6F7C"/>
    <w:rsid w:val="6A3F7157"/>
    <w:rsid w:val="6A641533"/>
    <w:rsid w:val="6A69722F"/>
    <w:rsid w:val="6A6B466F"/>
    <w:rsid w:val="6A7C687C"/>
    <w:rsid w:val="6A815C41"/>
    <w:rsid w:val="6A826D0C"/>
    <w:rsid w:val="6A85616F"/>
    <w:rsid w:val="6A8868F6"/>
    <w:rsid w:val="6A9A0B2D"/>
    <w:rsid w:val="6ABC4ECB"/>
    <w:rsid w:val="6ADD4AB5"/>
    <w:rsid w:val="6AEA1A38"/>
    <w:rsid w:val="6AEF0356"/>
    <w:rsid w:val="6B00125C"/>
    <w:rsid w:val="6B0C1CA8"/>
    <w:rsid w:val="6B1A4EC6"/>
    <w:rsid w:val="6B1D129A"/>
    <w:rsid w:val="6B210408"/>
    <w:rsid w:val="6B226F5C"/>
    <w:rsid w:val="6B240CC8"/>
    <w:rsid w:val="6B243793"/>
    <w:rsid w:val="6B364574"/>
    <w:rsid w:val="6B3D425E"/>
    <w:rsid w:val="6B4300E3"/>
    <w:rsid w:val="6B4B448B"/>
    <w:rsid w:val="6B4D0219"/>
    <w:rsid w:val="6B4D0D73"/>
    <w:rsid w:val="6B6537B4"/>
    <w:rsid w:val="6B6C0E4B"/>
    <w:rsid w:val="6B6C4B43"/>
    <w:rsid w:val="6B6C5DCF"/>
    <w:rsid w:val="6B6F63E1"/>
    <w:rsid w:val="6B792DBC"/>
    <w:rsid w:val="6B826114"/>
    <w:rsid w:val="6B8F21EB"/>
    <w:rsid w:val="6BA0712C"/>
    <w:rsid w:val="6BA936A1"/>
    <w:rsid w:val="6BAA2831"/>
    <w:rsid w:val="6BAD0172"/>
    <w:rsid w:val="6BBA7D25"/>
    <w:rsid w:val="6BC05243"/>
    <w:rsid w:val="6BC2105C"/>
    <w:rsid w:val="6BCC26FE"/>
    <w:rsid w:val="6BCE02D1"/>
    <w:rsid w:val="6BE16F41"/>
    <w:rsid w:val="6C4367F5"/>
    <w:rsid w:val="6C496D2D"/>
    <w:rsid w:val="6C582E40"/>
    <w:rsid w:val="6C5B73FB"/>
    <w:rsid w:val="6C5E0930"/>
    <w:rsid w:val="6C626C45"/>
    <w:rsid w:val="6C6D2921"/>
    <w:rsid w:val="6C895D3F"/>
    <w:rsid w:val="6C997F3B"/>
    <w:rsid w:val="6CA67BE1"/>
    <w:rsid w:val="6CAE2F39"/>
    <w:rsid w:val="6CB51517"/>
    <w:rsid w:val="6CBB1728"/>
    <w:rsid w:val="6CC256BB"/>
    <w:rsid w:val="6CF41B71"/>
    <w:rsid w:val="6CFC5A53"/>
    <w:rsid w:val="6CFF1D2C"/>
    <w:rsid w:val="6D0204A6"/>
    <w:rsid w:val="6D042B59"/>
    <w:rsid w:val="6D056FFD"/>
    <w:rsid w:val="6D0B1BA5"/>
    <w:rsid w:val="6D0F1C2A"/>
    <w:rsid w:val="6D173957"/>
    <w:rsid w:val="6D353FD1"/>
    <w:rsid w:val="6D464F20"/>
    <w:rsid w:val="6D4757D2"/>
    <w:rsid w:val="6D621CE7"/>
    <w:rsid w:val="6D68133A"/>
    <w:rsid w:val="6D6A6564"/>
    <w:rsid w:val="6D920165"/>
    <w:rsid w:val="6D9263B7"/>
    <w:rsid w:val="6D967C55"/>
    <w:rsid w:val="6D9738B6"/>
    <w:rsid w:val="6D9B170F"/>
    <w:rsid w:val="6DA305C4"/>
    <w:rsid w:val="6DB96462"/>
    <w:rsid w:val="6DBB76BC"/>
    <w:rsid w:val="6DC70D7F"/>
    <w:rsid w:val="6DC87AD4"/>
    <w:rsid w:val="6DD36DC0"/>
    <w:rsid w:val="6DDB5FB0"/>
    <w:rsid w:val="6DDE33AA"/>
    <w:rsid w:val="6DE33232"/>
    <w:rsid w:val="6DE43856"/>
    <w:rsid w:val="6DF006BA"/>
    <w:rsid w:val="6DF332FA"/>
    <w:rsid w:val="6DF45256"/>
    <w:rsid w:val="6DF73BB2"/>
    <w:rsid w:val="6E001573"/>
    <w:rsid w:val="6E0A02E2"/>
    <w:rsid w:val="6E0C43BB"/>
    <w:rsid w:val="6E0D1382"/>
    <w:rsid w:val="6E2C1870"/>
    <w:rsid w:val="6E396833"/>
    <w:rsid w:val="6E4759DD"/>
    <w:rsid w:val="6E4E6782"/>
    <w:rsid w:val="6E6E7D28"/>
    <w:rsid w:val="6E716A5C"/>
    <w:rsid w:val="6E772B09"/>
    <w:rsid w:val="6E7A1325"/>
    <w:rsid w:val="6E7A30D3"/>
    <w:rsid w:val="6E7E632C"/>
    <w:rsid w:val="6E865F1C"/>
    <w:rsid w:val="6E9817AB"/>
    <w:rsid w:val="6EC505B9"/>
    <w:rsid w:val="6EEB3FD1"/>
    <w:rsid w:val="6F180A6D"/>
    <w:rsid w:val="6F192CAA"/>
    <w:rsid w:val="6F305E87"/>
    <w:rsid w:val="6F400AF2"/>
    <w:rsid w:val="6F410095"/>
    <w:rsid w:val="6F5D0A07"/>
    <w:rsid w:val="6F6222D5"/>
    <w:rsid w:val="6F653D83"/>
    <w:rsid w:val="6F675D4D"/>
    <w:rsid w:val="6F6F142D"/>
    <w:rsid w:val="6F7D6A6A"/>
    <w:rsid w:val="6F865AA7"/>
    <w:rsid w:val="6F8661B3"/>
    <w:rsid w:val="6F9D176F"/>
    <w:rsid w:val="6F9E54E7"/>
    <w:rsid w:val="6FA0300D"/>
    <w:rsid w:val="6FD1766A"/>
    <w:rsid w:val="6FD35007"/>
    <w:rsid w:val="6FE52675"/>
    <w:rsid w:val="6FE52F43"/>
    <w:rsid w:val="6FE80510"/>
    <w:rsid w:val="6FEA072C"/>
    <w:rsid w:val="6FEF31EE"/>
    <w:rsid w:val="6FFD220E"/>
    <w:rsid w:val="6FFF138A"/>
    <w:rsid w:val="70027FD6"/>
    <w:rsid w:val="700D7F77"/>
    <w:rsid w:val="7035021F"/>
    <w:rsid w:val="703871A0"/>
    <w:rsid w:val="7042644D"/>
    <w:rsid w:val="7049026F"/>
    <w:rsid w:val="70497BDD"/>
    <w:rsid w:val="70561FDB"/>
    <w:rsid w:val="706156A8"/>
    <w:rsid w:val="70673B2B"/>
    <w:rsid w:val="70796867"/>
    <w:rsid w:val="70812E3F"/>
    <w:rsid w:val="708C7F32"/>
    <w:rsid w:val="708F162B"/>
    <w:rsid w:val="70952446"/>
    <w:rsid w:val="70A53BED"/>
    <w:rsid w:val="70BA3DEB"/>
    <w:rsid w:val="70CB230C"/>
    <w:rsid w:val="70D460E9"/>
    <w:rsid w:val="70F27898"/>
    <w:rsid w:val="70FA7F4C"/>
    <w:rsid w:val="70FE657C"/>
    <w:rsid w:val="710930DF"/>
    <w:rsid w:val="7113780F"/>
    <w:rsid w:val="71184E25"/>
    <w:rsid w:val="7118679E"/>
    <w:rsid w:val="71200B13"/>
    <w:rsid w:val="71216C2A"/>
    <w:rsid w:val="71246E06"/>
    <w:rsid w:val="71295D72"/>
    <w:rsid w:val="712B6A44"/>
    <w:rsid w:val="71336B4F"/>
    <w:rsid w:val="71363776"/>
    <w:rsid w:val="713734FD"/>
    <w:rsid w:val="713A123F"/>
    <w:rsid w:val="713A2FED"/>
    <w:rsid w:val="713D7BBE"/>
    <w:rsid w:val="7144341F"/>
    <w:rsid w:val="7148395C"/>
    <w:rsid w:val="714874B8"/>
    <w:rsid w:val="714931CB"/>
    <w:rsid w:val="714D0D63"/>
    <w:rsid w:val="714D2D21"/>
    <w:rsid w:val="716020ED"/>
    <w:rsid w:val="7166205F"/>
    <w:rsid w:val="716D6F1F"/>
    <w:rsid w:val="71753A0A"/>
    <w:rsid w:val="71783771"/>
    <w:rsid w:val="71792D4B"/>
    <w:rsid w:val="71A668CF"/>
    <w:rsid w:val="71AE06EF"/>
    <w:rsid w:val="71C945D8"/>
    <w:rsid w:val="71CD20B4"/>
    <w:rsid w:val="71D76A8E"/>
    <w:rsid w:val="71DD5124"/>
    <w:rsid w:val="71E61A38"/>
    <w:rsid w:val="71E66C33"/>
    <w:rsid w:val="71EA0570"/>
    <w:rsid w:val="71F66C71"/>
    <w:rsid w:val="71F87130"/>
    <w:rsid w:val="71F907B3"/>
    <w:rsid w:val="71F908D7"/>
    <w:rsid w:val="72086C48"/>
    <w:rsid w:val="720A0467"/>
    <w:rsid w:val="721A7837"/>
    <w:rsid w:val="72273572"/>
    <w:rsid w:val="7228200C"/>
    <w:rsid w:val="722930CD"/>
    <w:rsid w:val="7231619E"/>
    <w:rsid w:val="723931EE"/>
    <w:rsid w:val="723D0FE7"/>
    <w:rsid w:val="72587BCF"/>
    <w:rsid w:val="725A3FB0"/>
    <w:rsid w:val="725D3437"/>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4D46FF"/>
    <w:rsid w:val="7358775D"/>
    <w:rsid w:val="735917FD"/>
    <w:rsid w:val="735C549D"/>
    <w:rsid w:val="73602932"/>
    <w:rsid w:val="73702CF6"/>
    <w:rsid w:val="737A3B75"/>
    <w:rsid w:val="737C2A4C"/>
    <w:rsid w:val="73830C7C"/>
    <w:rsid w:val="73903399"/>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2F4960"/>
    <w:rsid w:val="74367A9C"/>
    <w:rsid w:val="74372CB0"/>
    <w:rsid w:val="7450478C"/>
    <w:rsid w:val="7452015B"/>
    <w:rsid w:val="74553C84"/>
    <w:rsid w:val="74624F8B"/>
    <w:rsid w:val="7476433D"/>
    <w:rsid w:val="74774D75"/>
    <w:rsid w:val="747D5827"/>
    <w:rsid w:val="74820676"/>
    <w:rsid w:val="74822ED2"/>
    <w:rsid w:val="74861483"/>
    <w:rsid w:val="749401EE"/>
    <w:rsid w:val="74A878F0"/>
    <w:rsid w:val="74D72EF3"/>
    <w:rsid w:val="74E17E85"/>
    <w:rsid w:val="74F17E67"/>
    <w:rsid w:val="7505626D"/>
    <w:rsid w:val="751D4E5F"/>
    <w:rsid w:val="75211DE3"/>
    <w:rsid w:val="752A6815"/>
    <w:rsid w:val="7531347A"/>
    <w:rsid w:val="753B6854"/>
    <w:rsid w:val="7544683B"/>
    <w:rsid w:val="754E422D"/>
    <w:rsid w:val="75695C4F"/>
    <w:rsid w:val="756A1062"/>
    <w:rsid w:val="756B7C19"/>
    <w:rsid w:val="75AD0232"/>
    <w:rsid w:val="75BA443F"/>
    <w:rsid w:val="75BB6151"/>
    <w:rsid w:val="75C80BC8"/>
    <w:rsid w:val="75CA2B92"/>
    <w:rsid w:val="75D30DA5"/>
    <w:rsid w:val="75D57A43"/>
    <w:rsid w:val="75E43528"/>
    <w:rsid w:val="75ED313E"/>
    <w:rsid w:val="75F2079C"/>
    <w:rsid w:val="75FD6C16"/>
    <w:rsid w:val="760119DA"/>
    <w:rsid w:val="760342F6"/>
    <w:rsid w:val="7624324F"/>
    <w:rsid w:val="7648793D"/>
    <w:rsid w:val="76654669"/>
    <w:rsid w:val="76740D50"/>
    <w:rsid w:val="767B3E8C"/>
    <w:rsid w:val="7682346D"/>
    <w:rsid w:val="76A72ED3"/>
    <w:rsid w:val="76AE4262"/>
    <w:rsid w:val="76AF5139"/>
    <w:rsid w:val="76B61368"/>
    <w:rsid w:val="76CA4592"/>
    <w:rsid w:val="76D87530"/>
    <w:rsid w:val="76E03FFD"/>
    <w:rsid w:val="76ED5AD9"/>
    <w:rsid w:val="76F12774"/>
    <w:rsid w:val="77007700"/>
    <w:rsid w:val="77161E07"/>
    <w:rsid w:val="771B11CB"/>
    <w:rsid w:val="772F05CC"/>
    <w:rsid w:val="7732522C"/>
    <w:rsid w:val="773708DC"/>
    <w:rsid w:val="77400C32"/>
    <w:rsid w:val="77522BDA"/>
    <w:rsid w:val="77534E09"/>
    <w:rsid w:val="77536991"/>
    <w:rsid w:val="77560455"/>
    <w:rsid w:val="775748F9"/>
    <w:rsid w:val="776721AA"/>
    <w:rsid w:val="77731007"/>
    <w:rsid w:val="77737259"/>
    <w:rsid w:val="778130E9"/>
    <w:rsid w:val="778D033F"/>
    <w:rsid w:val="779F1DFC"/>
    <w:rsid w:val="77A66FA4"/>
    <w:rsid w:val="77AC715F"/>
    <w:rsid w:val="77C655DB"/>
    <w:rsid w:val="77C8090F"/>
    <w:rsid w:val="77D05F62"/>
    <w:rsid w:val="77D67B46"/>
    <w:rsid w:val="77E230FE"/>
    <w:rsid w:val="77E65C7D"/>
    <w:rsid w:val="780E6699"/>
    <w:rsid w:val="78161684"/>
    <w:rsid w:val="781D1C7F"/>
    <w:rsid w:val="783562BD"/>
    <w:rsid w:val="783E26E3"/>
    <w:rsid w:val="78436AC1"/>
    <w:rsid w:val="7847671C"/>
    <w:rsid w:val="78476810"/>
    <w:rsid w:val="787061F4"/>
    <w:rsid w:val="78734760"/>
    <w:rsid w:val="787540FA"/>
    <w:rsid w:val="787E0B50"/>
    <w:rsid w:val="7899684C"/>
    <w:rsid w:val="78A551F0"/>
    <w:rsid w:val="78A96B01"/>
    <w:rsid w:val="78AD0B5A"/>
    <w:rsid w:val="78B07870"/>
    <w:rsid w:val="78B35B5F"/>
    <w:rsid w:val="78BB2C66"/>
    <w:rsid w:val="78BF603A"/>
    <w:rsid w:val="78C51351"/>
    <w:rsid w:val="78C7160B"/>
    <w:rsid w:val="78C97879"/>
    <w:rsid w:val="78CC38A2"/>
    <w:rsid w:val="78D21D5D"/>
    <w:rsid w:val="78D40B87"/>
    <w:rsid w:val="78D74515"/>
    <w:rsid w:val="78D9133E"/>
    <w:rsid w:val="78DB6E64"/>
    <w:rsid w:val="78DD498A"/>
    <w:rsid w:val="78E57CE3"/>
    <w:rsid w:val="79156AA7"/>
    <w:rsid w:val="79164340"/>
    <w:rsid w:val="792A5301"/>
    <w:rsid w:val="793A002E"/>
    <w:rsid w:val="79416420"/>
    <w:rsid w:val="79501600"/>
    <w:rsid w:val="79554E68"/>
    <w:rsid w:val="7956493E"/>
    <w:rsid w:val="795C61F7"/>
    <w:rsid w:val="796E1A86"/>
    <w:rsid w:val="797D4121"/>
    <w:rsid w:val="797E11A6"/>
    <w:rsid w:val="79940D02"/>
    <w:rsid w:val="799C4845"/>
    <w:rsid w:val="799D05BD"/>
    <w:rsid w:val="799D236B"/>
    <w:rsid w:val="79A33E26"/>
    <w:rsid w:val="79AE5A88"/>
    <w:rsid w:val="79B3393D"/>
    <w:rsid w:val="79B50780"/>
    <w:rsid w:val="79E22C61"/>
    <w:rsid w:val="79FE7C54"/>
    <w:rsid w:val="7A07062C"/>
    <w:rsid w:val="7A1C7585"/>
    <w:rsid w:val="7A1E34AC"/>
    <w:rsid w:val="7A1F2F69"/>
    <w:rsid w:val="7A2E43AE"/>
    <w:rsid w:val="7A2E7E37"/>
    <w:rsid w:val="7A324281"/>
    <w:rsid w:val="7A3727C0"/>
    <w:rsid w:val="7A3B22B0"/>
    <w:rsid w:val="7A41719B"/>
    <w:rsid w:val="7A471799"/>
    <w:rsid w:val="7A4A4443"/>
    <w:rsid w:val="7A5275FA"/>
    <w:rsid w:val="7A57268E"/>
    <w:rsid w:val="7A6B246A"/>
    <w:rsid w:val="7A6F5AB6"/>
    <w:rsid w:val="7A9D188A"/>
    <w:rsid w:val="7ACC4F5F"/>
    <w:rsid w:val="7AD718AD"/>
    <w:rsid w:val="7ADB0CA1"/>
    <w:rsid w:val="7ADB314B"/>
    <w:rsid w:val="7AEB5683"/>
    <w:rsid w:val="7AF5556B"/>
    <w:rsid w:val="7B0408F4"/>
    <w:rsid w:val="7B0C59FB"/>
    <w:rsid w:val="7B1B3C2F"/>
    <w:rsid w:val="7B234AF2"/>
    <w:rsid w:val="7B3A6F53"/>
    <w:rsid w:val="7B430CF1"/>
    <w:rsid w:val="7B5D4985"/>
    <w:rsid w:val="7B6018A2"/>
    <w:rsid w:val="7B6707E2"/>
    <w:rsid w:val="7B6C6499"/>
    <w:rsid w:val="7B705F89"/>
    <w:rsid w:val="7B74267B"/>
    <w:rsid w:val="7B7D7754"/>
    <w:rsid w:val="7B8B7FD7"/>
    <w:rsid w:val="7B926CC6"/>
    <w:rsid w:val="7B9E207A"/>
    <w:rsid w:val="7BA357BB"/>
    <w:rsid w:val="7BAA1EAE"/>
    <w:rsid w:val="7BB10B05"/>
    <w:rsid w:val="7BB51BEE"/>
    <w:rsid w:val="7BBC2F7D"/>
    <w:rsid w:val="7BE451FE"/>
    <w:rsid w:val="7BE97AEA"/>
    <w:rsid w:val="7BED2287"/>
    <w:rsid w:val="7BF36B62"/>
    <w:rsid w:val="7BFA0295"/>
    <w:rsid w:val="7BFA04C7"/>
    <w:rsid w:val="7C016BE2"/>
    <w:rsid w:val="7C093CE8"/>
    <w:rsid w:val="7C1745DC"/>
    <w:rsid w:val="7C2F47FA"/>
    <w:rsid w:val="7C3E1BE4"/>
    <w:rsid w:val="7C41666A"/>
    <w:rsid w:val="7C505D05"/>
    <w:rsid w:val="7C5843B5"/>
    <w:rsid w:val="7C6418B3"/>
    <w:rsid w:val="7C674B3E"/>
    <w:rsid w:val="7C7B2E38"/>
    <w:rsid w:val="7C8056BE"/>
    <w:rsid w:val="7C8D2B6B"/>
    <w:rsid w:val="7C9A0299"/>
    <w:rsid w:val="7CD12D75"/>
    <w:rsid w:val="7CDE33C7"/>
    <w:rsid w:val="7CEC5AE4"/>
    <w:rsid w:val="7CEF7382"/>
    <w:rsid w:val="7D017396"/>
    <w:rsid w:val="7D041015"/>
    <w:rsid w:val="7D20753B"/>
    <w:rsid w:val="7D364FB1"/>
    <w:rsid w:val="7D4C265B"/>
    <w:rsid w:val="7D4F34E3"/>
    <w:rsid w:val="7D5B0001"/>
    <w:rsid w:val="7D6733BC"/>
    <w:rsid w:val="7D7B6E68"/>
    <w:rsid w:val="7D81183E"/>
    <w:rsid w:val="7D813913"/>
    <w:rsid w:val="7D8C2E23"/>
    <w:rsid w:val="7D8F646F"/>
    <w:rsid w:val="7D902B14"/>
    <w:rsid w:val="7D9B7734"/>
    <w:rsid w:val="7D9F66B2"/>
    <w:rsid w:val="7D9F6F88"/>
    <w:rsid w:val="7DAE04B8"/>
    <w:rsid w:val="7DAF13CC"/>
    <w:rsid w:val="7DB525A4"/>
    <w:rsid w:val="7DBC274F"/>
    <w:rsid w:val="7DC900B8"/>
    <w:rsid w:val="7DCB56F9"/>
    <w:rsid w:val="7DDA3B8E"/>
    <w:rsid w:val="7DE40003"/>
    <w:rsid w:val="7DE411D8"/>
    <w:rsid w:val="7DE93DD1"/>
    <w:rsid w:val="7DF2712A"/>
    <w:rsid w:val="7DF369FE"/>
    <w:rsid w:val="7DFD2061"/>
    <w:rsid w:val="7DFD787D"/>
    <w:rsid w:val="7E046CFB"/>
    <w:rsid w:val="7E135BDF"/>
    <w:rsid w:val="7E192908"/>
    <w:rsid w:val="7E1A21DD"/>
    <w:rsid w:val="7E2573F4"/>
    <w:rsid w:val="7E374B3D"/>
    <w:rsid w:val="7E551467"/>
    <w:rsid w:val="7EA15A77"/>
    <w:rsid w:val="7EAD0642"/>
    <w:rsid w:val="7EB01C87"/>
    <w:rsid w:val="7EB91A60"/>
    <w:rsid w:val="7EC108AA"/>
    <w:rsid w:val="7ECF2A49"/>
    <w:rsid w:val="7ED24865"/>
    <w:rsid w:val="7EDC1571"/>
    <w:rsid w:val="7EE50A3C"/>
    <w:rsid w:val="7EF01855"/>
    <w:rsid w:val="7F016EF9"/>
    <w:rsid w:val="7F0B26EB"/>
    <w:rsid w:val="7F0C42CC"/>
    <w:rsid w:val="7F10538E"/>
    <w:rsid w:val="7F1B26B0"/>
    <w:rsid w:val="7F2350C1"/>
    <w:rsid w:val="7F314A7F"/>
    <w:rsid w:val="7F3E639F"/>
    <w:rsid w:val="7F556BCB"/>
    <w:rsid w:val="7F5F3A42"/>
    <w:rsid w:val="7F6227C1"/>
    <w:rsid w:val="7F6A33D7"/>
    <w:rsid w:val="7F781E1F"/>
    <w:rsid w:val="7F802513"/>
    <w:rsid w:val="7F875A17"/>
    <w:rsid w:val="7F8B6C20"/>
    <w:rsid w:val="7F945FBF"/>
    <w:rsid w:val="7F986425"/>
    <w:rsid w:val="7FAA0986"/>
    <w:rsid w:val="7FAF2DF8"/>
    <w:rsid w:val="7FB87EFF"/>
    <w:rsid w:val="7FBF303C"/>
    <w:rsid w:val="7FC12D31"/>
    <w:rsid w:val="7FC87885"/>
    <w:rsid w:val="7FD726D8"/>
    <w:rsid w:val="7FDA5165"/>
    <w:rsid w:val="7FE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51"/>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94"/>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link w:val="52"/>
    <w:autoRedefine/>
    <w:qFormat/>
    <w:uiPriority w:val="99"/>
    <w:pPr>
      <w:keepNext/>
      <w:keepLines/>
      <w:spacing w:line="360" w:lineRule="auto"/>
      <w:outlineLvl w:val="2"/>
    </w:pPr>
    <w:rPr>
      <w:b/>
      <w:bCs/>
      <w:kern w:val="0"/>
      <w:sz w:val="32"/>
      <w:szCs w:val="32"/>
    </w:rPr>
  </w:style>
  <w:style w:type="paragraph" w:styleId="5">
    <w:name w:val="heading 4"/>
    <w:basedOn w:val="1"/>
    <w:next w:val="1"/>
    <w:link w:val="53"/>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
    <w:autoRedefine/>
    <w:qFormat/>
    <w:uiPriority w:val="0"/>
    <w:pPr>
      <w:spacing w:after="120" w:line="440" w:lineRule="atLeast"/>
      <w:ind w:firstLine="200" w:firstLineChars="200"/>
    </w:pPr>
    <w:rPr>
      <w:rFonts w:ascii="Times New Roman" w:hAnsi="Times New Roman"/>
    </w:rPr>
  </w:style>
  <w:style w:type="paragraph" w:styleId="11">
    <w:name w:val="Body Text Indent"/>
    <w:basedOn w:val="1"/>
    <w:next w:val="12"/>
    <w:link w:val="55"/>
    <w:autoRedefine/>
    <w:unhideWhenUsed/>
    <w:qFormat/>
    <w:uiPriority w:val="99"/>
    <w:pPr>
      <w:spacing w:after="120"/>
      <w:ind w:left="420" w:leftChars="200"/>
    </w:pPr>
  </w:style>
  <w:style w:type="paragraph" w:styleId="12">
    <w:name w:val="envelope return"/>
    <w:basedOn w:val="1"/>
    <w:autoRedefine/>
    <w:qFormat/>
    <w:uiPriority w:val="99"/>
    <w:pPr>
      <w:snapToGrid w:val="0"/>
    </w:pPr>
    <w:rPr>
      <w:rFonts w:ascii="Arial" w:hAnsi="Arial" w:cs="Arial"/>
    </w:rPr>
  </w:style>
  <w:style w:type="paragraph" w:styleId="13">
    <w:name w:val="toc 3"/>
    <w:basedOn w:val="1"/>
    <w:next w:val="1"/>
    <w:autoRedefine/>
    <w:qFormat/>
    <w:locked/>
    <w:uiPriority w:val="39"/>
    <w:pPr>
      <w:ind w:left="840" w:leftChars="400"/>
    </w:pPr>
  </w:style>
  <w:style w:type="paragraph" w:styleId="14">
    <w:name w:val="Plain Text"/>
    <w:basedOn w:val="1"/>
    <w:link w:val="56"/>
    <w:autoRedefine/>
    <w:qFormat/>
    <w:uiPriority w:val="99"/>
    <w:rPr>
      <w:rFonts w:ascii="宋体" w:hAnsi="Courier New"/>
      <w:szCs w:val="21"/>
    </w:rPr>
  </w:style>
  <w:style w:type="paragraph" w:styleId="15">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6">
    <w:name w:val="Balloon Text"/>
    <w:basedOn w:val="1"/>
    <w:link w:val="57"/>
    <w:autoRedefine/>
    <w:unhideWhenUsed/>
    <w:qFormat/>
    <w:uiPriority w:val="99"/>
    <w:rPr>
      <w:sz w:val="18"/>
      <w:szCs w:val="18"/>
    </w:rPr>
  </w:style>
  <w:style w:type="paragraph" w:styleId="17">
    <w:name w:val="footer"/>
    <w:basedOn w:val="1"/>
    <w:link w:val="58"/>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8">
    <w:name w:val="header"/>
    <w:basedOn w:val="1"/>
    <w:link w:val="59"/>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9">
    <w:name w:val="toc 1"/>
    <w:basedOn w:val="1"/>
    <w:next w:val="1"/>
    <w:autoRedefine/>
    <w:qFormat/>
    <w:uiPriority w:val="39"/>
  </w:style>
  <w:style w:type="paragraph" w:styleId="20">
    <w:name w:val="toc 2"/>
    <w:basedOn w:val="1"/>
    <w:next w:val="1"/>
    <w:autoRedefine/>
    <w:qFormat/>
    <w:locked/>
    <w:uiPriority w:val="39"/>
    <w:pPr>
      <w:ind w:left="420" w:leftChars="200"/>
    </w:pPr>
  </w:style>
  <w:style w:type="paragraph" w:styleId="21">
    <w:name w:val="Body Text 2"/>
    <w:basedOn w:val="1"/>
    <w:next w:val="10"/>
    <w:link w:val="54"/>
    <w:autoRedefine/>
    <w:qFormat/>
    <w:uiPriority w:val="99"/>
    <w:pPr>
      <w:spacing w:after="120" w:line="480" w:lineRule="auto"/>
    </w:pPr>
    <w:rPr>
      <w:rFonts w:ascii="Times New Roman" w:hAnsi="Times New Roman"/>
      <w:kern w:val="0"/>
      <w:sz w:val="24"/>
    </w:rPr>
  </w:style>
  <w:style w:type="paragraph" w:styleId="2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next w:val="26"/>
    <w:autoRedefine/>
    <w:qFormat/>
    <w:uiPriority w:val="0"/>
    <w:pPr>
      <w:ind w:firstLine="420" w:firstLineChars="100"/>
    </w:pPr>
  </w:style>
  <w:style w:type="paragraph" w:styleId="26">
    <w:name w:val="Body Text First Indent 2"/>
    <w:basedOn w:val="11"/>
    <w:next w:val="1"/>
    <w:autoRedefine/>
    <w:qFormat/>
    <w:uiPriority w:val="0"/>
    <w:pPr>
      <w:ind w:firstLine="420" w:firstLineChars="200"/>
    </w:pPr>
  </w:style>
  <w:style w:type="table" w:styleId="28">
    <w:name w:val="Table Grid"/>
    <w:basedOn w:val="27"/>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locked/>
    <w:uiPriority w:val="0"/>
  </w:style>
  <w:style w:type="character" w:styleId="31">
    <w:name w:val="FollowedHyperlink"/>
    <w:autoRedefine/>
    <w:unhideWhenUsed/>
    <w:qFormat/>
    <w:uiPriority w:val="99"/>
    <w:rPr>
      <w:color w:val="333333"/>
      <w:u w:val="none"/>
    </w:rPr>
  </w:style>
  <w:style w:type="character" w:styleId="32">
    <w:name w:val="Emphasis"/>
    <w:basedOn w:val="29"/>
    <w:autoRedefine/>
    <w:qFormat/>
    <w:locked/>
    <w:uiPriority w:val="0"/>
  </w:style>
  <w:style w:type="character" w:styleId="33">
    <w:name w:val="HTML Definition"/>
    <w:basedOn w:val="29"/>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basedOn w:val="29"/>
    <w:autoRedefine/>
    <w:unhideWhenUsed/>
    <w:qFormat/>
    <w:uiPriority w:val="99"/>
  </w:style>
  <w:style w:type="character" w:styleId="36">
    <w:name w:val="HTML Variable"/>
    <w:basedOn w:val="29"/>
    <w:autoRedefine/>
    <w:unhideWhenUsed/>
    <w:qFormat/>
    <w:uiPriority w:val="99"/>
  </w:style>
  <w:style w:type="character" w:styleId="37">
    <w:name w:val="Hyperlink"/>
    <w:autoRedefine/>
    <w:qFormat/>
    <w:uiPriority w:val="99"/>
    <w:rPr>
      <w:rFonts w:cs="Times New Roman"/>
      <w:color w:val="0000FF"/>
      <w:u w:val="single"/>
    </w:rPr>
  </w:style>
  <w:style w:type="character" w:styleId="38">
    <w:name w:val="HTML Code"/>
    <w:autoRedefine/>
    <w:unhideWhenUsed/>
    <w:qFormat/>
    <w:uiPriority w:val="99"/>
    <w:rPr>
      <w:rFonts w:hint="default"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autoRedefine/>
    <w:unhideWhenUsed/>
    <w:qFormat/>
    <w:uiPriority w:val="99"/>
  </w:style>
  <w:style w:type="character" w:styleId="41">
    <w:name w:val="HTML Keyboard"/>
    <w:autoRedefine/>
    <w:unhideWhenUsed/>
    <w:qFormat/>
    <w:uiPriority w:val="99"/>
    <w:rPr>
      <w:rFonts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paragraph" w:customStyle="1" w:styleId="43">
    <w:name w:val="正文1"/>
    <w:basedOn w:val="1"/>
    <w:qFormat/>
    <w:uiPriority w:val="0"/>
    <w:pPr>
      <w:numPr>
        <w:ilvl w:val="1"/>
        <w:numId w:val="1"/>
      </w:numPr>
      <w:tabs>
        <w:tab w:val="left" w:pos="840"/>
      </w:tabs>
      <w:spacing w:beforeLines="50" w:line="360" w:lineRule="auto"/>
    </w:pPr>
    <w:rPr>
      <w:rFonts w:ascii="Times New Roman" w:hAnsi="Times New Roman"/>
      <w:b/>
      <w:sz w:val="24"/>
      <w:szCs w:val="24"/>
    </w:rPr>
  </w:style>
  <w:style w:type="paragraph" w:customStyle="1" w:styleId="44">
    <w:name w:val="Default"/>
    <w:next w:val="45"/>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5">
    <w:name w:val="大标题"/>
    <w:basedOn w:val="1"/>
    <w:next w:val="26"/>
    <w:qFormat/>
    <w:uiPriority w:val="0"/>
    <w:pPr>
      <w:jc w:val="center"/>
    </w:pPr>
    <w:rPr>
      <w:rFonts w:ascii="Arial" w:hAnsi="Arial"/>
      <w:b/>
      <w:sz w:val="28"/>
    </w:rPr>
  </w:style>
  <w:style w:type="paragraph" w:customStyle="1" w:styleId="46">
    <w:name w:val="正文文本 21"/>
    <w:basedOn w:val="1"/>
    <w:autoRedefine/>
    <w:qFormat/>
    <w:uiPriority w:val="0"/>
    <w:pPr>
      <w:spacing w:after="120" w:line="480" w:lineRule="auto"/>
    </w:pPr>
  </w:style>
  <w:style w:type="paragraph" w:customStyle="1" w:styleId="47">
    <w:name w:val="列出段落1"/>
    <w:basedOn w:val="1"/>
    <w:autoRedefine/>
    <w:qFormat/>
    <w:uiPriority w:val="34"/>
    <w:rPr>
      <w:rFonts w:ascii="宋体" w:hAnsi="宋体"/>
      <w:color w:val="0070C0"/>
      <w:szCs w:val="21"/>
    </w:rPr>
  </w:style>
  <w:style w:type="paragraph" w:customStyle="1" w:styleId="48">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9">
    <w:name w:val="无间隔1"/>
    <w:basedOn w:val="1"/>
    <w:next w:val="50"/>
    <w:autoRedefine/>
    <w:qFormat/>
    <w:uiPriority w:val="0"/>
    <w:pPr>
      <w:spacing w:line="400" w:lineRule="exact"/>
    </w:pPr>
    <w:rPr>
      <w:sz w:val="24"/>
    </w:rPr>
  </w:style>
  <w:style w:type="paragraph" w:customStyle="1" w:styleId="50">
    <w:name w:val="TOC Heading1"/>
    <w:next w:val="1"/>
    <w:qFormat/>
    <w:uiPriority w:val="0"/>
    <w:pPr>
      <w:wordWrap w:val="0"/>
    </w:pPr>
    <w:rPr>
      <w:rFonts w:ascii="Times New Roman" w:hAnsi="Times New Roman" w:eastAsia="宋体" w:cs="Times New Roman"/>
      <w:sz w:val="32"/>
      <w:szCs w:val="22"/>
      <w:lang w:val="en-US" w:eastAsia="zh-CN" w:bidi="ar-SA"/>
    </w:rPr>
  </w:style>
  <w:style w:type="character" w:customStyle="1" w:styleId="51">
    <w:name w:val="标题 1 字符"/>
    <w:link w:val="2"/>
    <w:autoRedefine/>
    <w:qFormat/>
    <w:uiPriority w:val="0"/>
    <w:rPr>
      <w:rFonts w:ascii="Book Antiqua" w:hAnsi="Book Antiqua"/>
      <w:b/>
      <w:bCs/>
      <w:kern w:val="44"/>
      <w:sz w:val="44"/>
      <w:szCs w:val="44"/>
    </w:rPr>
  </w:style>
  <w:style w:type="character" w:customStyle="1" w:styleId="52">
    <w:name w:val="标题 3 字符"/>
    <w:link w:val="4"/>
    <w:autoRedefine/>
    <w:qFormat/>
    <w:locked/>
    <w:uiPriority w:val="99"/>
    <w:rPr>
      <w:rFonts w:ascii="Book Antiqua" w:hAnsi="Book Antiqua" w:eastAsia="宋体" w:cs="Times New Roman"/>
      <w:b/>
      <w:bCs/>
      <w:sz w:val="32"/>
      <w:szCs w:val="32"/>
    </w:rPr>
  </w:style>
  <w:style w:type="character" w:customStyle="1" w:styleId="53">
    <w:name w:val="标题 4 字符"/>
    <w:link w:val="5"/>
    <w:autoRedefine/>
    <w:semiHidden/>
    <w:qFormat/>
    <w:locked/>
    <w:uiPriority w:val="99"/>
    <w:rPr>
      <w:rFonts w:ascii="Cambria" w:hAnsi="Cambria" w:eastAsia="宋体" w:cs="Times New Roman"/>
      <w:b/>
      <w:bCs/>
      <w:kern w:val="2"/>
      <w:sz w:val="28"/>
      <w:szCs w:val="28"/>
    </w:rPr>
  </w:style>
  <w:style w:type="character" w:customStyle="1" w:styleId="54">
    <w:name w:val="正文文本 2 字符"/>
    <w:link w:val="21"/>
    <w:autoRedefine/>
    <w:qFormat/>
    <w:locked/>
    <w:uiPriority w:val="99"/>
    <w:rPr>
      <w:rFonts w:ascii="Times New Roman" w:hAnsi="Times New Roman" w:eastAsia="宋体" w:cs="Times New Roman"/>
      <w:sz w:val="24"/>
      <w:szCs w:val="24"/>
    </w:rPr>
  </w:style>
  <w:style w:type="character" w:customStyle="1" w:styleId="55">
    <w:name w:val="正文文本缩进 字符"/>
    <w:link w:val="11"/>
    <w:autoRedefine/>
    <w:semiHidden/>
    <w:qFormat/>
    <w:uiPriority w:val="99"/>
    <w:rPr>
      <w:rFonts w:ascii="Book Antiqua" w:hAnsi="Book Antiqua"/>
      <w:kern w:val="2"/>
      <w:sz w:val="21"/>
      <w:szCs w:val="24"/>
    </w:rPr>
  </w:style>
  <w:style w:type="character" w:customStyle="1" w:styleId="56">
    <w:name w:val="纯文本 字符"/>
    <w:link w:val="14"/>
    <w:autoRedefine/>
    <w:semiHidden/>
    <w:qFormat/>
    <w:uiPriority w:val="99"/>
    <w:rPr>
      <w:rFonts w:ascii="宋体" w:hAnsi="Courier New" w:cs="Courier New"/>
      <w:kern w:val="2"/>
      <w:sz w:val="21"/>
      <w:szCs w:val="21"/>
    </w:rPr>
  </w:style>
  <w:style w:type="character" w:customStyle="1" w:styleId="57">
    <w:name w:val="批注框文本 字符"/>
    <w:link w:val="16"/>
    <w:autoRedefine/>
    <w:semiHidden/>
    <w:qFormat/>
    <w:uiPriority w:val="99"/>
    <w:rPr>
      <w:rFonts w:ascii="Book Antiqua" w:hAnsi="Book Antiqua"/>
      <w:kern w:val="2"/>
      <w:sz w:val="18"/>
      <w:szCs w:val="18"/>
    </w:rPr>
  </w:style>
  <w:style w:type="character" w:customStyle="1" w:styleId="58">
    <w:name w:val="页脚 字符"/>
    <w:link w:val="17"/>
    <w:autoRedefine/>
    <w:qFormat/>
    <w:locked/>
    <w:uiPriority w:val="99"/>
    <w:rPr>
      <w:rFonts w:cs="Times New Roman"/>
      <w:sz w:val="18"/>
      <w:szCs w:val="18"/>
    </w:rPr>
  </w:style>
  <w:style w:type="character" w:customStyle="1" w:styleId="59">
    <w:name w:val="页眉 字符"/>
    <w:link w:val="18"/>
    <w:autoRedefine/>
    <w:semiHidden/>
    <w:qFormat/>
    <w:locked/>
    <w:uiPriority w:val="99"/>
    <w:rPr>
      <w:rFonts w:cs="Times New Roman"/>
      <w:sz w:val="18"/>
      <w:szCs w:val="18"/>
    </w:rPr>
  </w:style>
  <w:style w:type="paragraph" w:customStyle="1" w:styleId="60">
    <w:name w:val="style4"/>
    <w:basedOn w:val="61"/>
    <w:next w:val="62"/>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正文_0"/>
    <w:next w:val="2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p0 Char Char"/>
    <w:link w:val="64"/>
    <w:autoRedefine/>
    <w:qFormat/>
    <w:locked/>
    <w:uiPriority w:val="99"/>
    <w:rPr>
      <w:rFonts w:ascii="Times New Roman" w:hAnsi="Times New Roman" w:cs="Times New Roman"/>
      <w:kern w:val="0"/>
      <w:sz w:val="21"/>
      <w:szCs w:val="21"/>
    </w:rPr>
  </w:style>
  <w:style w:type="paragraph" w:customStyle="1" w:styleId="64">
    <w:name w:val="p0"/>
    <w:basedOn w:val="1"/>
    <w:link w:val="63"/>
    <w:autoRedefine/>
    <w:qFormat/>
    <w:uiPriority w:val="99"/>
    <w:pPr>
      <w:widowControl/>
    </w:pPr>
    <w:rPr>
      <w:rFonts w:ascii="Times New Roman" w:hAnsi="Times New Roman"/>
      <w:kern w:val="0"/>
      <w:szCs w:val="21"/>
    </w:rPr>
  </w:style>
  <w:style w:type="character" w:customStyle="1" w:styleId="65">
    <w:name w:val="font81"/>
    <w:autoRedefine/>
    <w:qFormat/>
    <w:uiPriority w:val="0"/>
    <w:rPr>
      <w:rFonts w:hint="eastAsia" w:ascii="宋体" w:hAnsi="宋体" w:eastAsia="宋体" w:cs="宋体"/>
      <w:color w:val="000000"/>
      <w:sz w:val="24"/>
      <w:szCs w:val="24"/>
      <w:u w:val="none"/>
    </w:rPr>
  </w:style>
  <w:style w:type="character" w:customStyle="1" w:styleId="66">
    <w:name w:val="font31"/>
    <w:autoRedefine/>
    <w:qFormat/>
    <w:uiPriority w:val="0"/>
    <w:rPr>
      <w:rFonts w:hint="eastAsia" w:ascii="宋体" w:hAnsi="宋体" w:eastAsia="宋体" w:cs="宋体"/>
      <w:color w:val="000000"/>
      <w:sz w:val="24"/>
      <w:szCs w:val="24"/>
      <w:u w:val="none"/>
    </w:rPr>
  </w:style>
  <w:style w:type="character" w:customStyle="1" w:styleId="67">
    <w:name w:val="font51"/>
    <w:autoRedefine/>
    <w:qFormat/>
    <w:uiPriority w:val="0"/>
    <w:rPr>
      <w:rFonts w:ascii="Calibri" w:hAnsi="Calibri" w:cs="Calibri"/>
      <w:color w:val="000000"/>
      <w:sz w:val="24"/>
      <w:szCs w:val="24"/>
      <w:u w:val="none"/>
    </w:rPr>
  </w:style>
  <w:style w:type="character" w:customStyle="1" w:styleId="68">
    <w:name w:val="纯文本 Char"/>
    <w:autoRedefine/>
    <w:qFormat/>
    <w:uiPriority w:val="0"/>
    <w:rPr>
      <w:rFonts w:ascii="宋体" w:hAnsi="Courier New"/>
      <w:kern w:val="2"/>
      <w:sz w:val="21"/>
    </w:rPr>
  </w:style>
  <w:style w:type="paragraph" w:customStyle="1" w:styleId="6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1">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2">
    <w:name w:val="列表段落1"/>
    <w:basedOn w:val="1"/>
    <w:autoRedefine/>
    <w:qFormat/>
    <w:uiPriority w:val="99"/>
    <w:pPr>
      <w:ind w:firstLine="420" w:firstLineChars="200"/>
    </w:pPr>
    <w:rPr>
      <w:rFonts w:ascii="Times New Roman" w:hAnsi="Times New Roman"/>
    </w:rPr>
  </w:style>
  <w:style w:type="paragraph" w:customStyle="1" w:styleId="73">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5">
    <w:name w:val="Body Text First Indent1"/>
    <w:basedOn w:val="10"/>
    <w:autoRedefine/>
    <w:qFormat/>
    <w:uiPriority w:val="0"/>
    <w:pPr>
      <w:ind w:firstLine="420" w:firstLineChars="100"/>
    </w:pPr>
    <w:rPr>
      <w:rFonts w:ascii="Calibri" w:hAnsi="Calibri"/>
    </w:rPr>
  </w:style>
  <w:style w:type="paragraph" w:customStyle="1" w:styleId="76">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7">
    <w:name w:val="font41"/>
    <w:basedOn w:val="29"/>
    <w:autoRedefine/>
    <w:qFormat/>
    <w:uiPriority w:val="0"/>
    <w:rPr>
      <w:rFonts w:hint="eastAsia" w:ascii="宋体" w:hAnsi="宋体" w:eastAsia="宋体" w:cs="宋体"/>
      <w:color w:val="000000"/>
      <w:sz w:val="20"/>
      <w:szCs w:val="20"/>
      <w:u w:val="none"/>
    </w:rPr>
  </w:style>
  <w:style w:type="character" w:customStyle="1" w:styleId="78">
    <w:name w:val="font151"/>
    <w:basedOn w:val="29"/>
    <w:autoRedefine/>
    <w:qFormat/>
    <w:uiPriority w:val="0"/>
    <w:rPr>
      <w:rFonts w:hint="eastAsia" w:ascii="宋体" w:hAnsi="宋体" w:eastAsia="宋体" w:cs="宋体"/>
      <w:color w:val="000000"/>
      <w:sz w:val="20"/>
      <w:szCs w:val="20"/>
      <w:u w:val="none"/>
      <w:vertAlign w:val="superscript"/>
    </w:rPr>
  </w:style>
  <w:style w:type="character" w:customStyle="1" w:styleId="79">
    <w:name w:val="font161"/>
    <w:basedOn w:val="29"/>
    <w:autoRedefine/>
    <w:qFormat/>
    <w:uiPriority w:val="0"/>
    <w:rPr>
      <w:rFonts w:hint="eastAsia" w:ascii="宋体" w:hAnsi="宋体" w:eastAsia="宋体" w:cs="宋体"/>
      <w:color w:val="000000"/>
      <w:sz w:val="28"/>
      <w:szCs w:val="28"/>
      <w:u w:val="none"/>
      <w:vertAlign w:val="superscript"/>
    </w:rPr>
  </w:style>
  <w:style w:type="character" w:customStyle="1" w:styleId="80">
    <w:name w:val="font171"/>
    <w:basedOn w:val="29"/>
    <w:autoRedefine/>
    <w:qFormat/>
    <w:uiPriority w:val="0"/>
    <w:rPr>
      <w:rFonts w:hint="eastAsia" w:ascii="宋体" w:hAnsi="宋体" w:eastAsia="宋体" w:cs="宋体"/>
      <w:color w:val="000000"/>
      <w:sz w:val="20"/>
      <w:szCs w:val="20"/>
      <w:u w:val="none"/>
      <w:vertAlign w:val="superscript"/>
    </w:rPr>
  </w:style>
  <w:style w:type="paragraph" w:customStyle="1" w:styleId="81">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82">
    <w:name w:val="BodyText2"/>
    <w:basedOn w:val="1"/>
    <w:next w:val="81"/>
    <w:autoRedefine/>
    <w:qFormat/>
    <w:uiPriority w:val="0"/>
    <w:pPr>
      <w:spacing w:after="120" w:line="480" w:lineRule="auto"/>
      <w:textAlignment w:val="baseline"/>
    </w:pPr>
    <w:rPr>
      <w:rFonts w:ascii="Times New Roman" w:hAnsi="Times New Roman"/>
      <w:kern w:val="0"/>
      <w:sz w:val="24"/>
    </w:rPr>
  </w:style>
  <w:style w:type="character" w:customStyle="1" w:styleId="83">
    <w:name w:val="hover16"/>
    <w:basedOn w:val="29"/>
    <w:autoRedefine/>
    <w:qFormat/>
    <w:uiPriority w:val="0"/>
  </w:style>
  <w:style w:type="paragraph" w:customStyle="1" w:styleId="84">
    <w:name w:val="样式1"/>
    <w:basedOn w:val="1"/>
    <w:autoRedefine/>
    <w:qFormat/>
    <w:uiPriority w:val="0"/>
    <w:pPr>
      <w:tabs>
        <w:tab w:val="left" w:pos="709"/>
      </w:tabs>
      <w:ind w:left="709" w:hanging="709"/>
    </w:pPr>
    <w:rPr>
      <w:rFonts w:ascii="宋体" w:hAnsi="宋体"/>
    </w:rPr>
  </w:style>
  <w:style w:type="character" w:customStyle="1" w:styleId="85">
    <w:name w:val="font21"/>
    <w:autoRedefine/>
    <w:qFormat/>
    <w:uiPriority w:val="0"/>
    <w:rPr>
      <w:rFonts w:ascii="Calibri" w:hAnsi="Calibri" w:cs="Calibri"/>
      <w:color w:val="000000"/>
      <w:sz w:val="16"/>
      <w:szCs w:val="16"/>
      <w:u w:val="none"/>
    </w:rPr>
  </w:style>
  <w:style w:type="character" w:customStyle="1" w:styleId="86">
    <w:name w:val="font11"/>
    <w:autoRedefine/>
    <w:qFormat/>
    <w:uiPriority w:val="0"/>
    <w:rPr>
      <w:rFonts w:hint="eastAsia" w:ascii="宋体" w:hAnsi="宋体" w:eastAsia="宋体" w:cs="宋体"/>
      <w:color w:val="000000"/>
      <w:sz w:val="16"/>
      <w:szCs w:val="16"/>
      <w:u w:val="none"/>
    </w:rPr>
  </w:style>
  <w:style w:type="paragraph" w:customStyle="1" w:styleId="87">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8">
    <w:name w:val="NormalCharacter"/>
    <w:autoRedefine/>
    <w:semiHidden/>
    <w:qFormat/>
    <w:uiPriority w:val="0"/>
    <w:rPr>
      <w:rFonts w:ascii="宋体" w:hAnsi="宋体" w:cs="宋体"/>
      <w:sz w:val="22"/>
      <w:szCs w:val="22"/>
      <w:lang w:val="zh-CN" w:eastAsia="zh-CN" w:bidi="zh-CN"/>
    </w:rPr>
  </w:style>
  <w:style w:type="paragraph" w:customStyle="1" w:styleId="89">
    <w:name w:val="Table Paragraph"/>
    <w:basedOn w:val="1"/>
    <w:autoRedefine/>
    <w:qFormat/>
    <w:uiPriority w:val="1"/>
  </w:style>
  <w:style w:type="paragraph" w:customStyle="1" w:styleId="90">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91">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2">
    <w:name w:val="List Paragraph"/>
    <w:basedOn w:val="1"/>
    <w:autoRedefine/>
    <w:unhideWhenUsed/>
    <w:qFormat/>
    <w:uiPriority w:val="99"/>
    <w:pPr>
      <w:ind w:firstLine="420" w:firstLineChars="200"/>
    </w:pPr>
  </w:style>
  <w:style w:type="paragraph" w:customStyle="1" w:styleId="93">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4">
    <w:name w:val="标题 2 字符"/>
    <w:link w:val="3"/>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57</Pages>
  <Words>16159</Words>
  <Characters>17701</Characters>
  <Lines>267</Lines>
  <Paragraphs>75</Paragraphs>
  <TotalTime>2</TotalTime>
  <ScaleCrop>false</ScaleCrop>
  <LinksUpToDate>false</LinksUpToDate>
  <CharactersWithSpaces>17971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Administrator</cp:lastModifiedBy>
  <cp:lastPrinted>2026-02-02T08:31:00Z</cp:lastPrinted>
  <dcterms:modified xsi:type="dcterms:W3CDTF">2026-02-03T07:16:46Z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25B4406F8CEF41519F6E54D7EFE42A4D_13</vt:lpwstr>
  </property>
  <property fmtid="{D5CDD505-2E9C-101B-9397-08002B2CF9AE}" pid="4" name="KSOTemplateDocerSaveRecord">
    <vt:lpwstr>eyJoZGlkIjoiOWVlMjhlNzhmNzY2MmVlOGFlNTk5OWM3MzA1Yzc3OTYiLCJ1c2VySWQiOiI0ODg3MzE1MDAifQ==</vt:lpwstr>
  </property>
</Properties>
</file>