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E9F2">
      <w:pPr>
        <w:shd w:val="clear"/>
        <w:rPr>
          <w:color w:val="auto"/>
          <w:highlight w:val="none"/>
        </w:rPr>
      </w:pPr>
    </w:p>
    <w:p w14:paraId="5800887A">
      <w:pPr>
        <w:pStyle w:val="2"/>
        <w:shd w:val="clear"/>
        <w:spacing w:before="0" w:after="0" w:line="360" w:lineRule="auto"/>
        <w:jc w:val="center"/>
        <w:rPr>
          <w:rFonts w:hint="eastAsia" w:ascii="宋体" w:hAnsi="宋体" w:eastAsia="宋体" w:cs="宋体"/>
          <w:b/>
          <w:bCs w:val="0"/>
          <w:color w:val="auto"/>
          <w:kern w:val="0"/>
          <w:sz w:val="44"/>
          <w:szCs w:val="44"/>
          <w:highlight w:val="none"/>
          <w:lang w:val="en-US" w:eastAsia="zh-CN" w:bidi="ar-SA"/>
        </w:rPr>
      </w:pPr>
      <w:r>
        <w:rPr>
          <w:rFonts w:hint="eastAsia" w:ascii="宋体" w:hAnsi="宋体" w:cs="宋体"/>
          <w:b/>
          <w:bCs w:val="0"/>
          <w:color w:val="auto"/>
          <w:kern w:val="0"/>
          <w:sz w:val="44"/>
          <w:szCs w:val="44"/>
          <w:highlight w:val="none"/>
          <w:lang w:val="en-US" w:eastAsia="zh-CN" w:bidi="ar-SA"/>
        </w:rPr>
        <w:t>博爱县人民医院无纸化病案管理系统采购项目</w:t>
      </w:r>
    </w:p>
    <w:p w14:paraId="2A19B4D0">
      <w:pPr>
        <w:pStyle w:val="10"/>
        <w:shd w:val="clear"/>
        <w:ind w:left="0" w:leftChars="0" w:firstLine="0" w:firstLineChars="0"/>
        <w:rPr>
          <w:color w:val="auto"/>
          <w:highlight w:val="none"/>
        </w:rPr>
      </w:pPr>
    </w:p>
    <w:p w14:paraId="373A45F6">
      <w:pPr>
        <w:shd w:val="clear"/>
        <w:rPr>
          <w:color w:val="auto"/>
          <w:highlight w:val="none"/>
        </w:rPr>
      </w:pPr>
    </w:p>
    <w:p w14:paraId="519AC343">
      <w:pPr>
        <w:shd w:val="clear"/>
        <w:rPr>
          <w:color w:val="auto"/>
          <w:highlight w:val="none"/>
        </w:rPr>
      </w:pPr>
    </w:p>
    <w:p w14:paraId="3941B376">
      <w:pPr>
        <w:shd w:val="clear"/>
        <w:snapToGrid w:val="0"/>
        <w:spacing w:line="360" w:lineRule="auto"/>
        <w:jc w:val="center"/>
        <w:rPr>
          <w:rFonts w:hint="eastAsia" w:ascii="宋体" w:hAnsi="宋体" w:cs="宋体"/>
          <w:b/>
          <w:color w:val="auto"/>
          <w:kern w:val="0"/>
          <w:sz w:val="60"/>
          <w:szCs w:val="60"/>
          <w:highlight w:val="none"/>
        </w:rPr>
      </w:pPr>
      <w:r>
        <w:rPr>
          <w:rFonts w:hint="eastAsia" w:ascii="宋体" w:hAnsi="宋体" w:cs="宋体"/>
          <w:b/>
          <w:color w:val="auto"/>
          <w:kern w:val="0"/>
          <w:sz w:val="60"/>
          <w:szCs w:val="60"/>
          <w:highlight w:val="none"/>
        </w:rPr>
        <w:t xml:space="preserve">竞争性谈判文件       </w:t>
      </w:r>
    </w:p>
    <w:p w14:paraId="288E92B5">
      <w:pPr>
        <w:shd w:val="clear"/>
        <w:snapToGrid w:val="0"/>
        <w:spacing w:line="360" w:lineRule="auto"/>
        <w:ind w:firstLine="2422" w:firstLineChars="900"/>
        <w:jc w:val="both"/>
        <w:rPr>
          <w:rFonts w:hint="eastAsia" w:ascii="宋体" w:hAnsi="宋体" w:eastAsia="宋体" w:cs="宋体"/>
          <w:b/>
          <w:color w:val="auto"/>
          <w:spacing w:val="-6"/>
          <w:sz w:val="28"/>
          <w:szCs w:val="28"/>
          <w:highlight w:val="none"/>
          <w:lang w:eastAsia="zh-CN"/>
        </w:rPr>
      </w:pPr>
      <w:r>
        <w:rPr>
          <w:rFonts w:hint="eastAsia" w:ascii="宋体" w:hAnsi="宋体" w:cs="宋体"/>
          <w:b/>
          <w:color w:val="auto"/>
          <w:spacing w:val="-6"/>
          <w:sz w:val="28"/>
          <w:szCs w:val="28"/>
          <w:highlight w:val="none"/>
        </w:rPr>
        <w:t>采购编号：</w:t>
      </w:r>
      <w:r>
        <w:rPr>
          <w:rFonts w:hint="eastAsia" w:ascii="宋体" w:hAnsi="宋体" w:cs="宋体"/>
          <w:b/>
          <w:color w:val="auto"/>
          <w:spacing w:val="-6"/>
          <w:sz w:val="28"/>
          <w:szCs w:val="28"/>
          <w:highlight w:val="none"/>
          <w:lang w:eastAsia="zh-CN"/>
        </w:rPr>
        <w:t>博政采购（2026）4号</w:t>
      </w:r>
    </w:p>
    <w:p w14:paraId="4381F475">
      <w:pPr>
        <w:shd w:val="clear"/>
        <w:snapToGrid w:val="0"/>
        <w:spacing w:line="360" w:lineRule="auto"/>
        <w:ind w:firstLine="2422" w:firstLineChars="900"/>
        <w:jc w:val="both"/>
        <w:rPr>
          <w:rFonts w:hint="default" w:ascii="宋体" w:hAnsi="宋体" w:cs="宋体"/>
          <w:b/>
          <w:color w:val="auto"/>
          <w:spacing w:val="-6"/>
          <w:sz w:val="28"/>
          <w:szCs w:val="28"/>
          <w:highlight w:val="none"/>
          <w:lang w:val="en-US" w:eastAsia="zh-CN"/>
        </w:rPr>
      </w:pPr>
      <w:r>
        <w:rPr>
          <w:rFonts w:hint="eastAsia" w:ascii="宋体" w:hAnsi="宋体" w:cs="宋体"/>
          <w:b/>
          <w:color w:val="auto"/>
          <w:spacing w:val="-6"/>
          <w:sz w:val="28"/>
          <w:szCs w:val="28"/>
          <w:highlight w:val="none"/>
          <w:lang w:eastAsia="zh-CN"/>
        </w:rPr>
        <w:t>项目编号：</w:t>
      </w:r>
      <w:r>
        <w:rPr>
          <w:rFonts w:hint="eastAsia" w:ascii="宋体" w:hAnsi="宋体" w:cs="宋体"/>
          <w:b/>
          <w:color w:val="auto"/>
          <w:spacing w:val="-6"/>
          <w:sz w:val="28"/>
          <w:szCs w:val="28"/>
          <w:highlight w:val="none"/>
          <w:lang w:val="en-US" w:eastAsia="zh-CN"/>
        </w:rPr>
        <w:t xml:space="preserve">博财谈判采购-2026-8 </w:t>
      </w:r>
    </w:p>
    <w:p w14:paraId="7356FA3F">
      <w:pPr>
        <w:shd w:val="clear"/>
        <w:snapToGrid w:val="0"/>
        <w:spacing w:line="360" w:lineRule="auto"/>
        <w:rPr>
          <w:rFonts w:hint="eastAsia" w:ascii="宋体" w:hAnsi="宋体" w:cs="宋体"/>
          <w:b/>
          <w:color w:val="auto"/>
          <w:spacing w:val="-6"/>
          <w:sz w:val="30"/>
          <w:szCs w:val="30"/>
          <w:highlight w:val="none"/>
        </w:rPr>
      </w:pPr>
    </w:p>
    <w:p w14:paraId="368CA613">
      <w:pPr>
        <w:pStyle w:val="27"/>
        <w:shd w:val="clear"/>
        <w:ind w:left="0" w:leftChars="0" w:firstLine="0" w:firstLineChars="0"/>
        <w:rPr>
          <w:color w:val="auto"/>
          <w:highlight w:val="none"/>
        </w:rPr>
      </w:pPr>
    </w:p>
    <w:p w14:paraId="3B13B8C8">
      <w:pPr>
        <w:pStyle w:val="8"/>
        <w:shd w:val="clear"/>
        <w:ind w:left="0" w:leftChars="0" w:firstLine="0" w:firstLineChars="0"/>
        <w:rPr>
          <w:color w:val="auto"/>
          <w:highlight w:val="none"/>
        </w:rPr>
      </w:pPr>
    </w:p>
    <w:p w14:paraId="48B31EFD">
      <w:pPr>
        <w:pStyle w:val="8"/>
        <w:shd w:val="clear"/>
        <w:rPr>
          <w:color w:val="auto"/>
          <w:highlight w:val="none"/>
        </w:rPr>
      </w:pPr>
    </w:p>
    <w:p w14:paraId="498A5CB2">
      <w:pPr>
        <w:pStyle w:val="8"/>
        <w:shd w:val="clear"/>
        <w:rPr>
          <w:color w:val="auto"/>
          <w:highlight w:val="none"/>
        </w:rPr>
      </w:pPr>
    </w:p>
    <w:p w14:paraId="340ECBE0">
      <w:pPr>
        <w:pStyle w:val="8"/>
        <w:shd w:val="clear"/>
        <w:rPr>
          <w:color w:val="auto"/>
          <w:highlight w:val="none"/>
        </w:rPr>
      </w:pPr>
    </w:p>
    <w:p w14:paraId="0425BECC">
      <w:pPr>
        <w:pStyle w:val="8"/>
        <w:shd w:val="clear"/>
        <w:rPr>
          <w:color w:val="auto"/>
          <w:highlight w:val="none"/>
        </w:rPr>
      </w:pPr>
    </w:p>
    <w:p w14:paraId="0E5E3C3B">
      <w:pPr>
        <w:pStyle w:val="8"/>
        <w:shd w:val="clear"/>
        <w:rPr>
          <w:color w:val="auto"/>
          <w:highlight w:val="none"/>
        </w:rPr>
      </w:pPr>
    </w:p>
    <w:p w14:paraId="30F7FE0B">
      <w:pPr>
        <w:pStyle w:val="8"/>
        <w:shd w:val="clear"/>
        <w:rPr>
          <w:color w:val="auto"/>
          <w:highlight w:val="none"/>
        </w:rPr>
      </w:pPr>
    </w:p>
    <w:p w14:paraId="58BF39F6">
      <w:pPr>
        <w:pStyle w:val="8"/>
        <w:shd w:val="clear"/>
        <w:rPr>
          <w:color w:val="auto"/>
          <w:highlight w:val="none"/>
        </w:rPr>
      </w:pPr>
    </w:p>
    <w:p w14:paraId="167D3872">
      <w:pPr>
        <w:pStyle w:val="8"/>
        <w:shd w:val="clear"/>
        <w:rPr>
          <w:color w:val="auto"/>
          <w:highlight w:val="none"/>
        </w:rPr>
      </w:pPr>
    </w:p>
    <w:p w14:paraId="33481F96">
      <w:pPr>
        <w:pStyle w:val="8"/>
        <w:shd w:val="clear"/>
        <w:rPr>
          <w:color w:val="auto"/>
          <w:highlight w:val="none"/>
        </w:rPr>
      </w:pPr>
    </w:p>
    <w:p w14:paraId="404DD58F">
      <w:pPr>
        <w:pStyle w:val="8"/>
        <w:shd w:val="clear"/>
        <w:rPr>
          <w:color w:val="auto"/>
          <w:highlight w:val="none"/>
        </w:rPr>
      </w:pPr>
    </w:p>
    <w:p w14:paraId="2A9427AE">
      <w:pPr>
        <w:shd w:val="clear"/>
        <w:rPr>
          <w:color w:val="auto"/>
          <w:highlight w:val="none"/>
        </w:rPr>
      </w:pPr>
    </w:p>
    <w:p w14:paraId="4CCBE6AA">
      <w:pPr>
        <w:shd w:val="clear"/>
        <w:snapToGrid w:val="0"/>
        <w:spacing w:line="360" w:lineRule="auto"/>
        <w:ind w:firstLine="1928" w:firstLineChars="600"/>
        <w:jc w:val="both"/>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采 购 人：</w:t>
      </w:r>
      <w:r>
        <w:rPr>
          <w:rFonts w:hint="eastAsia" w:ascii="宋体" w:hAnsi="宋体" w:cs="宋体"/>
          <w:b/>
          <w:bCs/>
          <w:color w:val="auto"/>
          <w:sz w:val="32"/>
          <w:szCs w:val="32"/>
          <w:highlight w:val="none"/>
          <w:lang w:eastAsia="zh-CN"/>
        </w:rPr>
        <w:t>博爱县人民医院</w:t>
      </w:r>
    </w:p>
    <w:p w14:paraId="455CF7B3">
      <w:pPr>
        <w:shd w:val="clear"/>
        <w:snapToGrid w:val="0"/>
        <w:spacing w:line="360" w:lineRule="auto"/>
        <w:ind w:firstLine="1928" w:firstLineChars="600"/>
        <w:jc w:val="both"/>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代理机构：</w:t>
      </w:r>
      <w:r>
        <w:rPr>
          <w:rFonts w:hint="eastAsia" w:ascii="宋体" w:hAnsi="宋体" w:cs="宋体"/>
          <w:b/>
          <w:bCs/>
          <w:color w:val="auto"/>
          <w:sz w:val="32"/>
          <w:szCs w:val="32"/>
          <w:highlight w:val="none"/>
          <w:lang w:eastAsia="zh-CN"/>
        </w:rPr>
        <w:t>河南中达豫通项目管理有限公司</w:t>
      </w:r>
    </w:p>
    <w:p w14:paraId="3D72F511">
      <w:pPr>
        <w:shd w:val="clear"/>
        <w:snapToGrid w:val="0"/>
        <w:spacing w:line="360" w:lineRule="auto"/>
        <w:ind w:firstLine="1928" w:firstLineChars="600"/>
        <w:rPr>
          <w:rFonts w:hint="eastAsia" w:ascii="宋体" w:hAnsi="宋体" w:cs="宋体"/>
          <w:b/>
          <w:bCs/>
          <w:color w:val="auto"/>
          <w:sz w:val="36"/>
          <w:szCs w:val="36"/>
          <w:highlight w:val="none"/>
        </w:rPr>
        <w:sectPr>
          <w:footerReference r:id="rId3" w:type="first"/>
          <w:pgSz w:w="11905" w:h="16838"/>
          <w:pgMar w:top="1440" w:right="1463" w:bottom="1440" w:left="1463" w:header="567" w:footer="998" w:gutter="0"/>
          <w:pgNumType w:fmt="numberInDash" w:start="1"/>
          <w:cols w:space="0" w:num="1"/>
          <w:docGrid w:type="lines" w:linePitch="389" w:charSpace="0"/>
        </w:sectPr>
      </w:pPr>
      <w:r>
        <w:rPr>
          <w:rFonts w:hint="eastAsia" w:ascii="宋体" w:hAnsi="宋体" w:cs="宋体"/>
          <w:b/>
          <w:bCs/>
          <w:color w:val="auto"/>
          <w:sz w:val="32"/>
          <w:szCs w:val="32"/>
          <w:highlight w:val="none"/>
        </w:rPr>
        <w:t>日    期：202</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2月</w:t>
      </w:r>
    </w:p>
    <w:p w14:paraId="3F9AA8C0">
      <w:pPr>
        <w:shd w:val="clear"/>
        <w:rPr>
          <w:rStyle w:val="38"/>
          <w:rFonts w:hint="eastAsia" w:ascii="微软雅黑" w:hAnsi="微软雅黑" w:eastAsia="微软雅黑" w:cs="微软雅黑"/>
          <w:color w:val="auto"/>
          <w:kern w:val="0"/>
          <w:szCs w:val="44"/>
          <w:highlight w:val="none"/>
          <w:u w:val="none"/>
          <w:lang w:val="zh-CN"/>
        </w:rPr>
      </w:pPr>
    </w:p>
    <w:p w14:paraId="2B489768">
      <w:pPr>
        <w:pStyle w:val="21"/>
        <w:shd w:val="clear"/>
        <w:tabs>
          <w:tab w:val="right" w:leader="dot" w:pos="8890"/>
        </w:tabs>
        <w:spacing w:line="360" w:lineRule="auto"/>
        <w:jc w:val="center"/>
        <w:rPr>
          <w:rStyle w:val="38"/>
          <w:rFonts w:hint="eastAsia" w:ascii="宋体" w:hAnsi="宋体" w:cs="宋体"/>
          <w:b/>
          <w:bCs/>
          <w:color w:val="auto"/>
          <w:kern w:val="0"/>
          <w:sz w:val="44"/>
          <w:szCs w:val="44"/>
          <w:highlight w:val="none"/>
          <w:u w:val="none"/>
          <w:lang w:val="zh-CN"/>
        </w:rPr>
      </w:pPr>
      <w:r>
        <w:rPr>
          <w:rStyle w:val="38"/>
          <w:rFonts w:hint="eastAsia" w:ascii="宋体" w:hAnsi="宋体" w:cs="宋体"/>
          <w:b/>
          <w:bCs/>
          <w:color w:val="auto"/>
          <w:kern w:val="0"/>
          <w:sz w:val="44"/>
          <w:szCs w:val="44"/>
          <w:highlight w:val="none"/>
          <w:u w:val="none"/>
          <w:lang w:val="zh-CN"/>
        </w:rPr>
        <w:t>目  录</w:t>
      </w:r>
    </w:p>
    <w:p w14:paraId="1AE53977">
      <w:pPr>
        <w:pStyle w:val="21"/>
        <w:shd w:val="clear"/>
        <w:tabs>
          <w:tab w:val="right" w:leader="dot" w:pos="8890"/>
        </w:tabs>
        <w:spacing w:line="480" w:lineRule="auto"/>
        <w:ind w:firstLine="480" w:firstLineChars="200"/>
        <w:rPr>
          <w:rStyle w:val="38"/>
          <w:rFonts w:hint="eastAsia" w:ascii="宋体" w:hAnsi="宋体" w:cs="宋体"/>
          <w:color w:val="auto"/>
          <w:kern w:val="0"/>
          <w:sz w:val="24"/>
          <w:highlight w:val="none"/>
          <w:u w:val="none"/>
        </w:rPr>
      </w:pPr>
      <w:r>
        <w:rPr>
          <w:rStyle w:val="38"/>
          <w:rFonts w:hint="eastAsia" w:ascii="宋体" w:hAnsi="宋体" w:cs="宋体"/>
          <w:color w:val="auto"/>
          <w:kern w:val="0"/>
          <w:sz w:val="24"/>
          <w:highlight w:val="none"/>
          <w:u w:val="none"/>
        </w:rPr>
        <w:t>重要事项提示........................................</w:t>
      </w:r>
      <w:r>
        <w:rPr>
          <w:rStyle w:val="38"/>
          <w:rFonts w:hint="eastAsia" w:ascii="宋体" w:hAnsi="宋体" w:cs="宋体"/>
          <w:color w:val="auto"/>
          <w:kern w:val="0"/>
          <w:sz w:val="24"/>
          <w:highlight w:val="none"/>
          <w:u w:val="none"/>
          <w:lang w:val="en-US" w:eastAsia="zh-CN"/>
        </w:rPr>
        <w:t>.</w:t>
      </w:r>
      <w:r>
        <w:rPr>
          <w:rStyle w:val="38"/>
          <w:rFonts w:hint="eastAsia" w:ascii="宋体" w:hAnsi="宋体" w:cs="宋体"/>
          <w:color w:val="auto"/>
          <w:kern w:val="0"/>
          <w:sz w:val="24"/>
          <w:highlight w:val="none"/>
          <w:u w:val="none"/>
        </w:rPr>
        <w:t>................1</w:t>
      </w:r>
    </w:p>
    <w:p w14:paraId="66DA450C">
      <w:pPr>
        <w:pStyle w:val="21"/>
        <w:shd w:val="clear"/>
        <w:tabs>
          <w:tab w:val="right" w:leader="dot" w:pos="8890"/>
        </w:tabs>
        <w:spacing w:line="480" w:lineRule="auto"/>
        <w:ind w:firstLine="480" w:firstLineChars="200"/>
        <w:rPr>
          <w:rStyle w:val="38"/>
          <w:rFonts w:hint="eastAsia" w:ascii="宋体" w:hAnsi="宋体" w:cs="宋体"/>
          <w:color w:val="auto"/>
          <w:kern w:val="0"/>
          <w:sz w:val="24"/>
          <w:highlight w:val="none"/>
          <w:u w:val="none"/>
        </w:rPr>
      </w:pP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TOC \o "1-3" \h \z \u </w:instrText>
      </w:r>
      <w:r>
        <w:rPr>
          <w:rStyle w:val="38"/>
          <w:rFonts w:hint="eastAsia" w:ascii="宋体" w:hAnsi="宋体" w:cs="宋体"/>
          <w:color w:val="auto"/>
          <w:kern w:val="0"/>
          <w:sz w:val="24"/>
          <w:highlight w:val="none"/>
          <w:u w:val="none"/>
        </w:rPr>
        <w:fldChar w:fldCharType="separate"/>
      </w:r>
      <w:r>
        <w:rPr>
          <w:color w:val="auto"/>
          <w:highlight w:val="none"/>
        </w:rPr>
        <w:fldChar w:fldCharType="begin"/>
      </w:r>
      <w:r>
        <w:rPr>
          <w:color w:val="auto"/>
          <w:highlight w:val="none"/>
        </w:rPr>
        <w:instrText xml:space="preserve"> HYPERLINK \l "_Toc17836" </w:instrText>
      </w:r>
      <w:r>
        <w:rPr>
          <w:color w:val="auto"/>
          <w:highlight w:val="none"/>
        </w:rPr>
        <w:fldChar w:fldCharType="separate"/>
      </w:r>
      <w:r>
        <w:rPr>
          <w:rStyle w:val="38"/>
          <w:rFonts w:hint="eastAsia" w:ascii="宋体" w:hAnsi="宋体" w:cs="宋体"/>
          <w:color w:val="auto"/>
          <w:kern w:val="0"/>
          <w:sz w:val="24"/>
          <w:highlight w:val="none"/>
          <w:u w:val="none"/>
        </w:rPr>
        <w:t>竞争性谈判公告（不见面开标）</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_Toc17836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4</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5E97CDC0">
      <w:pPr>
        <w:pStyle w:val="21"/>
        <w:shd w:val="clear"/>
        <w:tabs>
          <w:tab w:val="right" w:leader="dot" w:pos="8890"/>
        </w:tabs>
        <w:spacing w:line="480" w:lineRule="auto"/>
        <w:ind w:firstLine="420" w:firstLineChars="200"/>
        <w:rPr>
          <w:rStyle w:val="38"/>
          <w:rFonts w:hint="eastAsia" w:ascii="宋体" w:hAnsi="宋体" w:cs="宋体"/>
          <w:color w:val="auto"/>
          <w:kern w:val="0"/>
          <w:sz w:val="24"/>
          <w:highlight w:val="none"/>
          <w:u w:val="none"/>
        </w:rPr>
      </w:pPr>
      <w:r>
        <w:rPr>
          <w:color w:val="auto"/>
          <w:highlight w:val="none"/>
        </w:rPr>
        <w:fldChar w:fldCharType="begin"/>
      </w:r>
      <w:r>
        <w:rPr>
          <w:color w:val="auto"/>
          <w:highlight w:val="none"/>
        </w:rPr>
        <w:instrText xml:space="preserve"> HYPERLINK \l "_Toc28653" </w:instrText>
      </w:r>
      <w:r>
        <w:rPr>
          <w:color w:val="auto"/>
          <w:highlight w:val="none"/>
        </w:rPr>
        <w:fldChar w:fldCharType="separate"/>
      </w:r>
      <w:r>
        <w:rPr>
          <w:rStyle w:val="38"/>
          <w:rFonts w:hint="eastAsia" w:ascii="宋体" w:hAnsi="宋体" w:cs="宋体"/>
          <w:color w:val="auto"/>
          <w:kern w:val="0"/>
          <w:sz w:val="24"/>
          <w:highlight w:val="none"/>
          <w:u w:val="none"/>
        </w:rPr>
        <w:t>投标须知前附表</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_Toc28653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4</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00BD2A47">
      <w:pPr>
        <w:pStyle w:val="21"/>
        <w:shd w:val="clear"/>
        <w:tabs>
          <w:tab w:val="right" w:leader="dot" w:pos="8890"/>
        </w:tabs>
        <w:spacing w:line="480" w:lineRule="auto"/>
        <w:ind w:firstLine="420" w:firstLineChars="200"/>
        <w:rPr>
          <w:rStyle w:val="38"/>
          <w:rFonts w:hint="eastAsia" w:ascii="宋体" w:hAnsi="宋体" w:cs="宋体"/>
          <w:color w:val="auto"/>
          <w:kern w:val="0"/>
          <w:sz w:val="24"/>
          <w:highlight w:val="none"/>
          <w:u w:val="none"/>
        </w:rPr>
      </w:pPr>
      <w:r>
        <w:rPr>
          <w:color w:val="auto"/>
          <w:highlight w:val="none"/>
        </w:rPr>
        <w:fldChar w:fldCharType="begin"/>
      </w:r>
      <w:r>
        <w:rPr>
          <w:color w:val="auto"/>
          <w:highlight w:val="none"/>
        </w:rPr>
        <w:instrText xml:space="preserve"> HYPERLINK \l "_Toc16130" </w:instrText>
      </w:r>
      <w:r>
        <w:rPr>
          <w:color w:val="auto"/>
          <w:highlight w:val="none"/>
        </w:rPr>
        <w:fldChar w:fldCharType="separate"/>
      </w:r>
      <w:r>
        <w:rPr>
          <w:rStyle w:val="38"/>
          <w:rFonts w:hint="eastAsia" w:ascii="宋体" w:hAnsi="宋体" w:cs="宋体"/>
          <w:color w:val="auto"/>
          <w:kern w:val="0"/>
          <w:sz w:val="24"/>
          <w:highlight w:val="none"/>
          <w:u w:val="none"/>
        </w:rPr>
        <w:t>第一部分 采购项目相关内容及要求</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_Toc16130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12</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740B8C01">
      <w:pPr>
        <w:pStyle w:val="21"/>
        <w:shd w:val="clear"/>
        <w:tabs>
          <w:tab w:val="right" w:leader="dot" w:pos="8890"/>
        </w:tabs>
        <w:spacing w:line="480" w:lineRule="auto"/>
        <w:ind w:firstLine="420" w:firstLineChars="200"/>
        <w:rPr>
          <w:rStyle w:val="38"/>
          <w:rFonts w:hint="eastAsia" w:ascii="宋体" w:hAnsi="宋体" w:cs="宋体"/>
          <w:color w:val="auto"/>
          <w:kern w:val="0"/>
          <w:sz w:val="24"/>
          <w:highlight w:val="none"/>
          <w:u w:val="none"/>
        </w:rPr>
      </w:pPr>
      <w:r>
        <w:rPr>
          <w:color w:val="auto"/>
          <w:highlight w:val="none"/>
        </w:rPr>
        <w:fldChar w:fldCharType="begin"/>
      </w:r>
      <w:r>
        <w:rPr>
          <w:color w:val="auto"/>
          <w:highlight w:val="none"/>
        </w:rPr>
        <w:instrText xml:space="preserve"> HYPERLINK \l "_Toc18477" </w:instrText>
      </w:r>
      <w:r>
        <w:rPr>
          <w:color w:val="auto"/>
          <w:highlight w:val="none"/>
        </w:rPr>
        <w:fldChar w:fldCharType="separate"/>
      </w:r>
      <w:r>
        <w:rPr>
          <w:rStyle w:val="38"/>
          <w:rFonts w:hint="eastAsia" w:ascii="宋体" w:hAnsi="宋体" w:cs="宋体"/>
          <w:color w:val="auto"/>
          <w:kern w:val="0"/>
          <w:sz w:val="24"/>
          <w:highlight w:val="none"/>
          <w:u w:val="none"/>
        </w:rPr>
        <w:t>第二部分 参与采购须知</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_Toc18477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14</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7A06F4A0">
      <w:pPr>
        <w:pStyle w:val="21"/>
        <w:shd w:val="clear"/>
        <w:tabs>
          <w:tab w:val="right" w:leader="dot" w:pos="8890"/>
        </w:tabs>
        <w:spacing w:line="480" w:lineRule="auto"/>
        <w:ind w:firstLine="420" w:firstLineChars="200"/>
        <w:rPr>
          <w:rStyle w:val="38"/>
          <w:rFonts w:hint="eastAsia" w:ascii="宋体" w:hAnsi="宋体" w:cs="宋体"/>
          <w:color w:val="auto"/>
          <w:kern w:val="0"/>
          <w:sz w:val="24"/>
          <w:highlight w:val="none"/>
          <w:u w:val="none"/>
        </w:rPr>
      </w:pPr>
      <w:r>
        <w:rPr>
          <w:color w:val="auto"/>
          <w:highlight w:val="none"/>
        </w:rPr>
        <w:fldChar w:fldCharType="begin"/>
      </w:r>
      <w:r>
        <w:rPr>
          <w:color w:val="auto"/>
          <w:highlight w:val="none"/>
        </w:rPr>
        <w:instrText xml:space="preserve"> HYPERLINK \l "_Toc27037" </w:instrText>
      </w:r>
      <w:r>
        <w:rPr>
          <w:color w:val="auto"/>
          <w:highlight w:val="none"/>
        </w:rPr>
        <w:fldChar w:fldCharType="separate"/>
      </w:r>
      <w:r>
        <w:rPr>
          <w:rStyle w:val="38"/>
          <w:rFonts w:hint="eastAsia" w:ascii="宋体" w:hAnsi="宋体" w:cs="宋体"/>
          <w:color w:val="auto"/>
          <w:kern w:val="0"/>
          <w:sz w:val="24"/>
          <w:highlight w:val="none"/>
          <w:u w:val="none"/>
        </w:rPr>
        <w:t>第三部分 其他要求</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_Toc27037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25</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77E3AA03">
      <w:pPr>
        <w:pStyle w:val="21"/>
        <w:shd w:val="clear"/>
        <w:tabs>
          <w:tab w:val="right" w:leader="dot" w:pos="8890"/>
        </w:tabs>
        <w:spacing w:line="480" w:lineRule="auto"/>
        <w:ind w:firstLine="420" w:firstLineChars="200"/>
        <w:rPr>
          <w:rStyle w:val="38"/>
          <w:rFonts w:hint="eastAsia" w:ascii="宋体" w:hAnsi="宋体" w:cs="宋体"/>
          <w:color w:val="auto"/>
          <w:kern w:val="0"/>
          <w:sz w:val="24"/>
          <w:highlight w:val="none"/>
          <w:u w:val="none"/>
        </w:rPr>
      </w:pPr>
      <w:r>
        <w:rPr>
          <w:color w:val="auto"/>
          <w:highlight w:val="none"/>
        </w:rPr>
        <w:fldChar w:fldCharType="begin"/>
      </w:r>
      <w:r>
        <w:rPr>
          <w:color w:val="auto"/>
          <w:highlight w:val="none"/>
        </w:rPr>
        <w:instrText xml:space="preserve"> HYPERLINK \l "_Toc11753" </w:instrText>
      </w:r>
      <w:r>
        <w:rPr>
          <w:color w:val="auto"/>
          <w:highlight w:val="none"/>
        </w:rPr>
        <w:fldChar w:fldCharType="separate"/>
      </w:r>
      <w:r>
        <w:rPr>
          <w:rStyle w:val="38"/>
          <w:rFonts w:hint="eastAsia" w:ascii="宋体" w:hAnsi="宋体" w:cs="宋体"/>
          <w:color w:val="auto"/>
          <w:kern w:val="0"/>
          <w:sz w:val="24"/>
          <w:highlight w:val="none"/>
          <w:u w:val="none"/>
        </w:rPr>
        <w:t>第四部分 质疑与投诉</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_Toc11753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26</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73FE3A16">
      <w:pPr>
        <w:pStyle w:val="21"/>
        <w:shd w:val="clear"/>
        <w:tabs>
          <w:tab w:val="right" w:leader="dot" w:pos="8890"/>
        </w:tabs>
        <w:spacing w:line="480" w:lineRule="auto"/>
        <w:ind w:firstLine="420" w:firstLineChars="200"/>
        <w:rPr>
          <w:rStyle w:val="38"/>
          <w:rFonts w:hint="eastAsia" w:ascii="宋体" w:hAnsi="宋体" w:cs="宋体"/>
          <w:color w:val="auto"/>
          <w:kern w:val="0"/>
          <w:sz w:val="24"/>
          <w:highlight w:val="none"/>
          <w:u w:val="none"/>
        </w:rPr>
      </w:pPr>
      <w:r>
        <w:rPr>
          <w:color w:val="auto"/>
          <w:highlight w:val="none"/>
        </w:rPr>
        <w:fldChar w:fldCharType="begin"/>
      </w:r>
      <w:r>
        <w:rPr>
          <w:color w:val="auto"/>
          <w:highlight w:val="none"/>
        </w:rPr>
        <w:instrText xml:space="preserve"> HYPERLINK \l "_Toc2271" </w:instrText>
      </w:r>
      <w:r>
        <w:rPr>
          <w:color w:val="auto"/>
          <w:highlight w:val="none"/>
        </w:rPr>
        <w:fldChar w:fldCharType="separate"/>
      </w:r>
      <w:r>
        <w:rPr>
          <w:rStyle w:val="38"/>
          <w:rFonts w:hint="eastAsia" w:ascii="宋体" w:hAnsi="宋体" w:cs="宋体"/>
          <w:color w:val="auto"/>
          <w:kern w:val="0"/>
          <w:sz w:val="24"/>
          <w:highlight w:val="none"/>
          <w:u w:val="none"/>
        </w:rPr>
        <w:t>第五部分 采购内容及要求</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_Toc2271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27</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7B0747B6">
      <w:pPr>
        <w:pStyle w:val="21"/>
        <w:shd w:val="clear"/>
        <w:tabs>
          <w:tab w:val="right" w:leader="dot" w:pos="8890"/>
        </w:tabs>
        <w:spacing w:line="480" w:lineRule="auto"/>
        <w:ind w:firstLine="420" w:firstLineChars="200"/>
        <w:rPr>
          <w:rStyle w:val="38"/>
          <w:rFonts w:hint="eastAsia" w:ascii="宋体" w:hAnsi="宋体" w:cs="宋体"/>
          <w:color w:val="auto"/>
          <w:kern w:val="0"/>
          <w:sz w:val="24"/>
          <w:highlight w:val="none"/>
          <w:u w:val="none"/>
        </w:rPr>
      </w:pPr>
      <w:r>
        <w:rPr>
          <w:color w:val="auto"/>
          <w:highlight w:val="none"/>
        </w:rPr>
        <w:fldChar w:fldCharType="begin"/>
      </w:r>
      <w:r>
        <w:rPr>
          <w:color w:val="auto"/>
          <w:highlight w:val="none"/>
        </w:rPr>
        <w:instrText xml:space="preserve"> HYPERLINK \l "_Toc27476" </w:instrText>
      </w:r>
      <w:r>
        <w:rPr>
          <w:color w:val="auto"/>
          <w:highlight w:val="none"/>
        </w:rPr>
        <w:fldChar w:fldCharType="separate"/>
      </w:r>
      <w:r>
        <w:rPr>
          <w:rStyle w:val="38"/>
          <w:rFonts w:hint="eastAsia" w:ascii="宋体" w:hAnsi="宋体" w:cs="宋体"/>
          <w:color w:val="auto"/>
          <w:kern w:val="0"/>
          <w:sz w:val="24"/>
          <w:highlight w:val="none"/>
          <w:u w:val="none"/>
        </w:rPr>
        <w:t>第六部分 合同格式及主要条款</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_Toc27476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49</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61571CB5">
      <w:pPr>
        <w:pStyle w:val="21"/>
        <w:shd w:val="clear"/>
        <w:tabs>
          <w:tab w:val="right" w:leader="dot" w:pos="8890"/>
        </w:tabs>
        <w:spacing w:line="480" w:lineRule="auto"/>
        <w:ind w:firstLine="420" w:firstLineChars="200"/>
        <w:rPr>
          <w:rStyle w:val="38"/>
          <w:rFonts w:hint="eastAsia" w:ascii="宋体" w:hAnsi="宋体" w:cs="宋体"/>
          <w:color w:val="auto"/>
          <w:kern w:val="0"/>
          <w:sz w:val="24"/>
          <w:highlight w:val="none"/>
          <w:u w:val="none"/>
        </w:rPr>
      </w:pPr>
      <w:r>
        <w:rPr>
          <w:color w:val="auto"/>
          <w:highlight w:val="none"/>
        </w:rPr>
        <w:fldChar w:fldCharType="begin"/>
      </w:r>
      <w:r>
        <w:rPr>
          <w:color w:val="auto"/>
          <w:highlight w:val="none"/>
        </w:rPr>
        <w:instrText xml:space="preserve"> HYPERLINK \l "_Toc27415" </w:instrText>
      </w:r>
      <w:r>
        <w:rPr>
          <w:color w:val="auto"/>
          <w:highlight w:val="none"/>
        </w:rPr>
        <w:fldChar w:fldCharType="separate"/>
      </w:r>
      <w:r>
        <w:rPr>
          <w:rStyle w:val="38"/>
          <w:rFonts w:hint="eastAsia" w:ascii="宋体" w:hAnsi="宋体" w:cs="宋体"/>
          <w:color w:val="auto"/>
          <w:kern w:val="0"/>
          <w:sz w:val="24"/>
          <w:highlight w:val="none"/>
          <w:u w:val="none"/>
        </w:rPr>
        <w:t>第七部分 履约验收</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_Toc27415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52</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65F534E0">
      <w:pPr>
        <w:pStyle w:val="21"/>
        <w:shd w:val="clear"/>
        <w:tabs>
          <w:tab w:val="right" w:leader="dot" w:pos="8890"/>
        </w:tabs>
        <w:spacing w:line="480" w:lineRule="auto"/>
        <w:ind w:firstLine="420" w:firstLineChars="200"/>
        <w:rPr>
          <w:rStyle w:val="38"/>
          <w:rFonts w:hint="eastAsia" w:ascii="宋体" w:hAnsi="宋体" w:cs="宋体"/>
          <w:color w:val="auto"/>
          <w:kern w:val="0"/>
          <w:sz w:val="24"/>
          <w:highlight w:val="none"/>
          <w:u w:val="none"/>
        </w:rPr>
      </w:pPr>
      <w:r>
        <w:rPr>
          <w:color w:val="auto"/>
          <w:highlight w:val="none"/>
        </w:rPr>
        <w:fldChar w:fldCharType="begin"/>
      </w:r>
      <w:r>
        <w:rPr>
          <w:color w:val="auto"/>
          <w:highlight w:val="none"/>
        </w:rPr>
        <w:instrText xml:space="preserve"> HYPERLINK \l "_Toc30461" </w:instrText>
      </w:r>
      <w:r>
        <w:rPr>
          <w:color w:val="auto"/>
          <w:highlight w:val="none"/>
        </w:rPr>
        <w:fldChar w:fldCharType="separate"/>
      </w:r>
      <w:r>
        <w:rPr>
          <w:rStyle w:val="38"/>
          <w:rFonts w:hint="eastAsia" w:ascii="宋体" w:hAnsi="宋体" w:cs="宋体"/>
          <w:color w:val="auto"/>
          <w:kern w:val="0"/>
          <w:sz w:val="24"/>
          <w:highlight w:val="none"/>
          <w:u w:val="none"/>
        </w:rPr>
        <w:t>第八部分  附件—供应商响应文件格式</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_Toc30461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53</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0AFA6F83">
      <w:pPr>
        <w:pStyle w:val="21"/>
        <w:shd w:val="clear"/>
        <w:tabs>
          <w:tab w:val="right" w:leader="dot" w:pos="8890"/>
        </w:tabs>
        <w:spacing w:line="480" w:lineRule="auto"/>
        <w:ind w:firstLine="420" w:firstLineChars="200"/>
        <w:rPr>
          <w:rStyle w:val="38"/>
          <w:rFonts w:hint="eastAsia" w:ascii="宋体" w:hAnsi="宋体" w:cs="宋体"/>
          <w:color w:val="auto"/>
          <w:kern w:val="0"/>
          <w:sz w:val="24"/>
          <w:highlight w:val="none"/>
          <w:u w:val="none"/>
        </w:rPr>
      </w:pPr>
      <w:r>
        <w:rPr>
          <w:color w:val="auto"/>
          <w:highlight w:val="none"/>
        </w:rPr>
        <w:fldChar w:fldCharType="begin"/>
      </w:r>
      <w:r>
        <w:rPr>
          <w:color w:val="auto"/>
          <w:highlight w:val="none"/>
        </w:rPr>
        <w:instrText xml:space="preserve"> HYPERLINK \l "_Toc21790" </w:instrText>
      </w:r>
      <w:r>
        <w:rPr>
          <w:color w:val="auto"/>
          <w:highlight w:val="none"/>
        </w:rPr>
        <w:fldChar w:fldCharType="separate"/>
      </w:r>
      <w:r>
        <w:rPr>
          <w:rStyle w:val="38"/>
          <w:rFonts w:hint="eastAsia" w:ascii="宋体" w:hAnsi="宋体" w:cs="宋体"/>
          <w:color w:val="auto"/>
          <w:kern w:val="0"/>
          <w:sz w:val="24"/>
          <w:highlight w:val="none"/>
          <w:u w:val="none"/>
        </w:rPr>
        <w:t>优化和提升政府采购政策</w:t>
      </w:r>
      <w:r>
        <w:rPr>
          <w:rStyle w:val="38"/>
          <w:rFonts w:hint="eastAsia" w:ascii="宋体" w:hAnsi="宋体" w:cs="宋体"/>
          <w:color w:val="auto"/>
          <w:kern w:val="0"/>
          <w:sz w:val="24"/>
          <w:highlight w:val="none"/>
          <w:u w:val="none"/>
        </w:rPr>
        <w:tab/>
      </w:r>
      <w:r>
        <w:rPr>
          <w:rStyle w:val="38"/>
          <w:rFonts w:hint="eastAsia" w:ascii="宋体" w:hAnsi="宋体" w:cs="宋体"/>
          <w:color w:val="auto"/>
          <w:kern w:val="0"/>
          <w:sz w:val="24"/>
          <w:highlight w:val="none"/>
          <w:u w:val="none"/>
        </w:rPr>
        <w:fldChar w:fldCharType="begin"/>
      </w:r>
      <w:r>
        <w:rPr>
          <w:rStyle w:val="38"/>
          <w:rFonts w:hint="eastAsia" w:ascii="宋体" w:hAnsi="宋体" w:cs="宋体"/>
          <w:color w:val="auto"/>
          <w:kern w:val="0"/>
          <w:sz w:val="24"/>
          <w:highlight w:val="none"/>
          <w:u w:val="none"/>
        </w:rPr>
        <w:instrText xml:space="preserve"> PAGEREF _Toc21790 \h </w:instrText>
      </w:r>
      <w:r>
        <w:rPr>
          <w:rStyle w:val="38"/>
          <w:rFonts w:hint="eastAsia" w:ascii="宋体" w:hAnsi="宋体" w:cs="宋体"/>
          <w:color w:val="auto"/>
          <w:kern w:val="0"/>
          <w:sz w:val="24"/>
          <w:highlight w:val="none"/>
          <w:u w:val="none"/>
        </w:rPr>
        <w:fldChar w:fldCharType="separate"/>
      </w:r>
      <w:r>
        <w:rPr>
          <w:rStyle w:val="38"/>
          <w:rFonts w:hint="eastAsia" w:ascii="宋体" w:hAnsi="宋体" w:cs="宋体"/>
          <w:color w:val="auto"/>
          <w:kern w:val="0"/>
          <w:sz w:val="24"/>
          <w:highlight w:val="none"/>
          <w:u w:val="none"/>
        </w:rPr>
        <w:t>69</w:t>
      </w:r>
      <w:r>
        <w:rPr>
          <w:rStyle w:val="38"/>
          <w:rFonts w:hint="eastAsia" w:ascii="宋体" w:hAnsi="宋体" w:cs="宋体"/>
          <w:color w:val="auto"/>
          <w:kern w:val="0"/>
          <w:sz w:val="24"/>
          <w:highlight w:val="none"/>
          <w:u w:val="none"/>
        </w:rPr>
        <w:fldChar w:fldCharType="end"/>
      </w:r>
      <w:r>
        <w:rPr>
          <w:rStyle w:val="38"/>
          <w:rFonts w:hint="eastAsia" w:ascii="宋体" w:hAnsi="宋体" w:cs="宋体"/>
          <w:color w:val="auto"/>
          <w:kern w:val="0"/>
          <w:sz w:val="24"/>
          <w:highlight w:val="none"/>
          <w:u w:val="none"/>
        </w:rPr>
        <w:fldChar w:fldCharType="end"/>
      </w:r>
    </w:p>
    <w:p w14:paraId="4494AAEA">
      <w:pPr>
        <w:pStyle w:val="21"/>
        <w:shd w:val="clear"/>
        <w:tabs>
          <w:tab w:val="right" w:leader="dot" w:pos="8890"/>
        </w:tabs>
        <w:spacing w:line="480" w:lineRule="auto"/>
        <w:ind w:firstLine="480" w:firstLineChars="200"/>
        <w:rPr>
          <w:color w:val="auto"/>
          <w:sz w:val="24"/>
          <w:highlight w:val="none"/>
        </w:rPr>
      </w:pPr>
      <w:r>
        <w:rPr>
          <w:rStyle w:val="38"/>
          <w:rFonts w:hint="eastAsia" w:ascii="宋体" w:hAnsi="宋体" w:cs="宋体"/>
          <w:color w:val="auto"/>
          <w:kern w:val="0"/>
          <w:sz w:val="24"/>
          <w:highlight w:val="none"/>
          <w:u w:val="none"/>
        </w:rPr>
        <w:fldChar w:fldCharType="end"/>
      </w:r>
    </w:p>
    <w:p w14:paraId="51E2FEF3">
      <w:pPr>
        <w:shd w:val="clear"/>
        <w:spacing w:line="360" w:lineRule="auto"/>
        <w:jc w:val="center"/>
        <w:rPr>
          <w:rFonts w:hint="eastAsia" w:ascii="微软雅黑" w:hAnsi="微软雅黑" w:eastAsia="微软雅黑" w:cs="微软雅黑"/>
          <w:color w:val="auto"/>
          <w:sz w:val="36"/>
          <w:szCs w:val="36"/>
          <w:highlight w:val="none"/>
        </w:rPr>
        <w:sectPr>
          <w:footerReference r:id="rId6" w:type="first"/>
          <w:headerReference r:id="rId4" w:type="default"/>
          <w:footerReference r:id="rId5" w:type="default"/>
          <w:endnotePr>
            <w:numFmt w:val="decimal"/>
          </w:endnotePr>
          <w:pgSz w:w="11905" w:h="16838"/>
          <w:pgMar w:top="1440" w:right="1463" w:bottom="1440" w:left="1463" w:header="567" w:footer="998" w:gutter="0"/>
          <w:pgNumType w:fmt="decimal" w:start="1"/>
          <w:cols w:space="0" w:num="1"/>
          <w:docGrid w:type="lines" w:linePitch="389" w:charSpace="0"/>
        </w:sectPr>
      </w:pPr>
      <w:bookmarkStart w:id="0" w:name="_Toc19411"/>
      <w:bookmarkStart w:id="1" w:name="_Toc533668867"/>
      <w:bookmarkStart w:id="2" w:name="_Toc760"/>
    </w:p>
    <w:p w14:paraId="06C3C712">
      <w:pPr>
        <w:shd w:val="clear"/>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重要事项提示</w:t>
      </w:r>
    </w:p>
    <w:p w14:paraId="1FB8B3A4">
      <w:pPr>
        <w:shd w:val="clear"/>
        <w:rPr>
          <w:color w:val="auto"/>
          <w:highlight w:val="none"/>
        </w:rPr>
      </w:pPr>
    </w:p>
    <w:p w14:paraId="0BD0539A">
      <w:pPr>
        <w:shd w:val="clear"/>
        <w:spacing w:line="360" w:lineRule="auto"/>
        <w:rPr>
          <w:rFonts w:hint="eastAsia" w:ascii="宋体" w:hAnsi="宋体" w:cs="宋体"/>
          <w:color w:val="auto"/>
          <w:sz w:val="24"/>
          <w:highlight w:val="none"/>
        </w:rPr>
      </w:pPr>
      <w:r>
        <w:rPr>
          <w:rFonts w:hint="eastAsia" w:ascii="宋体" w:hAnsi="宋体" w:cs="宋体"/>
          <w:color w:val="auto"/>
          <w:sz w:val="24"/>
          <w:highlight w:val="none"/>
        </w:rPr>
        <w:t>各潜在供应商：</w:t>
      </w:r>
    </w:p>
    <w:p w14:paraId="5223F730">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以下环节是此采购文件中需要重点关注的环节，对以下内容的忽视，可能是影响贵公司中标的重要因素。请在编制响应性文件参与政府采购时高度重视。</w:t>
      </w:r>
    </w:p>
    <w:p w14:paraId="48CEC7C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1、谈判文件应通过焦作市公共资源交易中心网站会员系统进行网上下载；未使用企业CA密匙登录焦作市公共资源交易中心网站会员系统进行网上下载文件的，投标视为无效；</w:t>
      </w:r>
    </w:p>
    <w:p w14:paraId="3FD2E0E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r>
        <w:rPr>
          <w:rFonts w:hint="eastAsia" w:ascii="宋体" w:hAnsi="宋体" w:cs="宋体"/>
          <w:color w:val="auto"/>
          <w:sz w:val="24"/>
          <w:highlight w:val="none"/>
          <w:lang w:eastAsia="zh-CN"/>
        </w:rPr>
        <w:t>https://ggzy.jiaozuo.gov.cn/BidOpeningHall/bidhall/dqhnjz/login.html</w:t>
      </w:r>
      <w:r>
        <w:rPr>
          <w:rFonts w:hint="eastAsia" w:ascii="宋体" w:hAnsi="宋体" w:cs="宋体"/>
          <w:color w:val="auto"/>
          <w:sz w:val="24"/>
          <w:highlight w:val="none"/>
        </w:rPr>
        <w:t xml:space="preserve"> ）按要求解密投标文件。因文件未及时上传导致投标失败的责任由供应商自行承担，具体要求详见</w:t>
      </w:r>
      <w:r>
        <w:rPr>
          <w:rFonts w:hint="eastAsia" w:ascii="宋体" w:hAnsi="宋体"/>
          <w:color w:val="auto"/>
          <w:kern w:val="0"/>
          <w:sz w:val="24"/>
          <w:highlight w:val="none"/>
        </w:rPr>
        <w:t>竞争性谈判</w:t>
      </w:r>
      <w:r>
        <w:rPr>
          <w:rFonts w:hint="eastAsia" w:ascii="宋体" w:hAnsi="宋体" w:cs="宋体"/>
          <w:color w:val="auto"/>
          <w:sz w:val="24"/>
          <w:highlight w:val="none"/>
        </w:rPr>
        <w:t>文件。平台统一技术服务电话：400-998-0000，服务QQ：4008503300，服务时间：周一至周日 8：00-17：30。</w:t>
      </w:r>
    </w:p>
    <w:p w14:paraId="1809EB70">
      <w:pPr>
        <w:pStyle w:val="23"/>
        <w:shd w:val="clear"/>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供应商无需到现场参加开标会议，无需到达现场提交原件资料。在线准时参加开标活动并进行文件解密、答疑澄清等。加密电子响应性文件须在焦作市公共资源交易中心电子交易平台中加密上传，上传时必须得到电脑“上传成功”的确认回复后方为上传成功。在规定时间内投标文件未解密的供应商，视为放弃投标。</w:t>
      </w:r>
    </w:p>
    <w:p w14:paraId="4F99D70B">
      <w:pPr>
        <w:pStyle w:val="23"/>
        <w:numPr>
          <w:ilvl w:val="0"/>
          <w:numId w:val="1"/>
        </w:numPr>
        <w:shd w:val="clear"/>
        <w:spacing w:before="0" w:beforeAutospacing="0" w:after="0" w:afterAutospacing="0" w:line="360" w:lineRule="auto"/>
        <w:ind w:firstLine="480" w:firstLineChars="200"/>
        <w:jc w:val="both"/>
        <w:rPr>
          <w:rFonts w:hint="eastAsia"/>
          <w:color w:val="auto"/>
          <w:highlight w:val="none"/>
        </w:rPr>
      </w:pPr>
      <w:r>
        <w:rPr>
          <w:rFonts w:hint="eastAsia"/>
          <w:color w:val="auto"/>
          <w:highlight w:val="none"/>
        </w:rPr>
        <w:t>有下列情形之一的，将作为自动放弃、无效投标或废标处理：</w:t>
      </w:r>
    </w:p>
    <w:p w14:paraId="5BDB930B">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3.1 未按竞争性谈判文件明示的规定签字或盖章的；</w:t>
      </w:r>
    </w:p>
    <w:p w14:paraId="11A4E2DE">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3.2 响应文件的关键内容（投标报价、</w:t>
      </w:r>
      <w:r>
        <w:rPr>
          <w:rFonts w:hint="eastAsia" w:ascii="宋体" w:hAnsi="宋体" w:eastAsia="宋体" w:cs="宋体"/>
          <w:color w:val="auto"/>
          <w:kern w:val="0"/>
          <w:sz w:val="24"/>
          <w:highlight w:val="none"/>
        </w:rPr>
        <w:t>合同履行期限</w:t>
      </w:r>
      <w:r>
        <w:rPr>
          <w:rFonts w:hint="eastAsia" w:ascii="宋体" w:hAnsi="宋体" w:cs="宋体"/>
          <w:color w:val="auto"/>
          <w:kern w:val="0"/>
          <w:sz w:val="24"/>
          <w:highlight w:val="none"/>
          <w:lang w:eastAsia="zh-CN"/>
        </w:rPr>
        <w:t>（供货安装期）</w:t>
      </w:r>
      <w:r>
        <w:rPr>
          <w:rFonts w:hint="eastAsia" w:ascii="宋体" w:hAnsi="宋体"/>
          <w:color w:val="auto"/>
          <w:kern w:val="0"/>
          <w:sz w:val="24"/>
          <w:highlight w:val="none"/>
        </w:rPr>
        <w:t>、质量要求、品牌、型号等）未填写或填写字迹模糊、达不到采购要求的；</w:t>
      </w:r>
    </w:p>
    <w:p w14:paraId="7DA01844">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3.3 采购报价超出控制价的；</w:t>
      </w:r>
    </w:p>
    <w:p w14:paraId="01CFDCB2">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3.4 响应文件中对同一项目有两个或多个报价，且未声明哪一个有效的；</w:t>
      </w:r>
    </w:p>
    <w:p w14:paraId="1E525309">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3.5 相关资格证明文件不合格的；</w:t>
      </w:r>
    </w:p>
    <w:p w14:paraId="574846DA">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3.6 响应文件中附有采购人不能接受的条件的；</w:t>
      </w:r>
    </w:p>
    <w:p w14:paraId="0AD30E16">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3.7 响应文件有明显不符合竞争性谈判文件其它要求和有关法律法规的；</w:t>
      </w:r>
    </w:p>
    <w:p w14:paraId="5DD02341">
      <w:pPr>
        <w:widowControl/>
        <w:shd w:val="clear"/>
        <w:spacing w:line="360" w:lineRule="auto"/>
        <w:ind w:firstLine="480" w:firstLineChars="200"/>
        <w:rPr>
          <w:color w:val="auto"/>
          <w:highlight w:val="none"/>
        </w:rPr>
      </w:pPr>
      <w:r>
        <w:rPr>
          <w:rFonts w:hint="eastAsia" w:ascii="宋体" w:hAnsi="宋体"/>
          <w:color w:val="auto"/>
          <w:kern w:val="0"/>
          <w:sz w:val="24"/>
          <w:highlight w:val="none"/>
        </w:rPr>
        <w:t>3.8 评标过程中，如因两个或两个以上供应商在同一台计算机或同一个IP上传响应文件，而被不见面开标系统提示为“投标文件制作机器码一致”的，则视其投标无效；</w:t>
      </w:r>
    </w:p>
    <w:p w14:paraId="14E55679">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3D331BFA">
      <w:pPr>
        <w:pStyle w:val="23"/>
        <w:shd w:val="clear"/>
        <w:spacing w:before="0" w:beforeAutospacing="0" w:after="0" w:afterAutospacing="0" w:line="360" w:lineRule="auto"/>
        <w:ind w:left="420"/>
        <w:jc w:val="both"/>
        <w:rPr>
          <w:rFonts w:hint="eastAsia"/>
          <w:color w:val="auto"/>
          <w:highlight w:val="none"/>
        </w:rPr>
      </w:pPr>
    </w:p>
    <w:p w14:paraId="6CC50C40">
      <w:pPr>
        <w:pStyle w:val="23"/>
        <w:shd w:val="clear"/>
        <w:spacing w:before="0" w:beforeAutospacing="0" w:after="0" w:afterAutospacing="0" w:line="360" w:lineRule="auto"/>
        <w:ind w:left="420"/>
        <w:jc w:val="both"/>
        <w:rPr>
          <w:rFonts w:hint="eastAsia"/>
          <w:color w:val="auto"/>
          <w:highlight w:val="none"/>
        </w:rPr>
      </w:pPr>
    </w:p>
    <w:p w14:paraId="5E73E98F">
      <w:pPr>
        <w:pStyle w:val="23"/>
        <w:shd w:val="clear"/>
        <w:spacing w:before="0" w:beforeAutospacing="0" w:after="0" w:afterAutospacing="0" w:line="360" w:lineRule="auto"/>
        <w:ind w:left="420"/>
        <w:jc w:val="both"/>
        <w:rPr>
          <w:rFonts w:hint="eastAsia"/>
          <w:color w:val="auto"/>
          <w:highlight w:val="none"/>
        </w:rPr>
      </w:pPr>
    </w:p>
    <w:p w14:paraId="1FD40BF6">
      <w:pPr>
        <w:pStyle w:val="23"/>
        <w:shd w:val="clear"/>
        <w:spacing w:before="0" w:beforeAutospacing="0" w:after="0" w:afterAutospacing="0" w:line="360" w:lineRule="auto"/>
        <w:ind w:left="420"/>
        <w:jc w:val="both"/>
        <w:rPr>
          <w:rFonts w:hint="eastAsia"/>
          <w:color w:val="auto"/>
          <w:highlight w:val="none"/>
        </w:rPr>
      </w:pPr>
    </w:p>
    <w:p w14:paraId="24DB9D42">
      <w:pPr>
        <w:pStyle w:val="23"/>
        <w:shd w:val="clear"/>
        <w:spacing w:before="0" w:beforeAutospacing="0" w:after="0" w:afterAutospacing="0" w:line="360" w:lineRule="auto"/>
        <w:ind w:left="420"/>
        <w:jc w:val="both"/>
        <w:rPr>
          <w:rFonts w:hint="eastAsia"/>
          <w:color w:val="auto"/>
          <w:highlight w:val="none"/>
        </w:rPr>
      </w:pPr>
    </w:p>
    <w:p w14:paraId="182CABFE">
      <w:pPr>
        <w:pStyle w:val="23"/>
        <w:shd w:val="clear"/>
        <w:spacing w:before="0" w:beforeAutospacing="0" w:after="0" w:afterAutospacing="0" w:line="360" w:lineRule="auto"/>
        <w:ind w:left="420"/>
        <w:jc w:val="both"/>
        <w:rPr>
          <w:rFonts w:hint="eastAsia"/>
          <w:color w:val="auto"/>
          <w:highlight w:val="none"/>
        </w:rPr>
      </w:pPr>
    </w:p>
    <w:p w14:paraId="04CEFFE6">
      <w:pPr>
        <w:pStyle w:val="23"/>
        <w:shd w:val="clear"/>
        <w:spacing w:before="0" w:beforeAutospacing="0" w:after="0" w:afterAutospacing="0" w:line="360" w:lineRule="auto"/>
        <w:ind w:left="420"/>
        <w:jc w:val="both"/>
        <w:rPr>
          <w:rFonts w:hint="eastAsia"/>
          <w:color w:val="auto"/>
          <w:highlight w:val="none"/>
        </w:rPr>
      </w:pPr>
    </w:p>
    <w:p w14:paraId="143BDF1E">
      <w:pPr>
        <w:shd w:val="clear"/>
        <w:rPr>
          <w:rFonts w:hint="eastAsia" w:ascii="宋体" w:hAnsi="宋体" w:cs="宋体"/>
          <w:b/>
          <w:bCs/>
          <w:color w:val="auto"/>
          <w:sz w:val="32"/>
          <w:szCs w:val="32"/>
          <w:highlight w:val="none"/>
        </w:rPr>
      </w:pPr>
    </w:p>
    <w:p w14:paraId="37E9ED52">
      <w:pPr>
        <w:pStyle w:val="2"/>
        <w:shd w:val="clear"/>
        <w:spacing w:before="0" w:after="0" w:line="360" w:lineRule="auto"/>
        <w:jc w:val="center"/>
        <w:rPr>
          <w:rFonts w:hint="eastAsia" w:ascii="宋体" w:hAnsi="宋体" w:eastAsia="宋体" w:cs="宋体"/>
          <w:color w:val="auto"/>
          <w:sz w:val="28"/>
          <w:szCs w:val="28"/>
          <w:highlight w:val="none"/>
          <w:lang w:eastAsia="zh-CN"/>
        </w:rPr>
      </w:pPr>
      <w:bookmarkStart w:id="3" w:name="OLE_LINK1"/>
      <w:bookmarkStart w:id="4" w:name="_Toc28653"/>
      <w:r>
        <w:rPr>
          <w:rFonts w:hint="eastAsia" w:ascii="宋体" w:hAnsi="宋体" w:cs="宋体"/>
          <w:color w:val="auto"/>
          <w:sz w:val="28"/>
          <w:szCs w:val="28"/>
          <w:highlight w:val="none"/>
          <w:lang w:eastAsia="zh-CN"/>
        </w:rPr>
        <w:t>博爱县人民医院无纸化病案管理系统采购项目</w:t>
      </w:r>
    </w:p>
    <w:p w14:paraId="0C6D2E77">
      <w:pPr>
        <w:pStyle w:val="2"/>
        <w:shd w:val="clear"/>
        <w:spacing w:before="0" w:after="0" w:line="360" w:lineRule="auto"/>
        <w:jc w:val="center"/>
        <w:rPr>
          <w:color w:val="auto"/>
          <w:sz w:val="28"/>
          <w:szCs w:val="28"/>
          <w:highlight w:val="none"/>
        </w:rPr>
      </w:pPr>
      <w:bookmarkStart w:id="5" w:name="_Toc17836"/>
      <w:r>
        <w:rPr>
          <w:rFonts w:hint="eastAsia" w:ascii="宋体" w:hAnsi="宋体" w:cs="宋体"/>
          <w:color w:val="auto"/>
          <w:sz w:val="28"/>
          <w:szCs w:val="28"/>
          <w:highlight w:val="none"/>
        </w:rPr>
        <w:t>竞争性谈判公告（不见面开标）</w:t>
      </w:r>
      <w:bookmarkEnd w:id="5"/>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6"/>
      </w:tblGrid>
      <w:tr w14:paraId="52DE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5" w:type="dxa"/>
          </w:tcPr>
          <w:p w14:paraId="3F49F6FE">
            <w:pPr>
              <w:shd w:val="clear"/>
              <w:adjustRightInd w:val="0"/>
              <w:snapToGrid w:val="0"/>
              <w:spacing w:line="360" w:lineRule="auto"/>
              <w:rPr>
                <w:rFonts w:ascii="宋体" w:hAnsi="宋体" w:cs="宋体"/>
                <w:color w:val="auto"/>
                <w:kern w:val="0"/>
                <w:sz w:val="24"/>
                <w:highlight w:val="none"/>
              </w:rPr>
            </w:pPr>
            <w:r>
              <w:rPr>
                <w:rFonts w:hint="default" w:ascii="宋体" w:hAnsi="宋体" w:cs="宋体"/>
                <w:color w:val="auto"/>
                <w:kern w:val="0"/>
                <w:sz w:val="24"/>
                <w:highlight w:val="none"/>
              </w:rPr>
              <w:t>项目概况</w:t>
            </w:r>
          </w:p>
          <w:p w14:paraId="5051814B">
            <w:pPr>
              <w:shd w:val="clear"/>
              <w:adjustRightInd w:val="0"/>
              <w:snapToGrid w:val="0"/>
              <w:spacing w:line="360" w:lineRule="auto"/>
              <w:ind w:firstLine="480" w:firstLineChars="200"/>
              <w:rPr>
                <w:rFonts w:hint="default" w:ascii="宋体" w:hAnsi="宋体" w:cs="宋体"/>
                <w:color w:val="auto"/>
                <w:kern w:val="0"/>
                <w:sz w:val="24"/>
                <w:highlight w:val="none"/>
                <w:vertAlign w:val="baseline"/>
              </w:rPr>
            </w:pPr>
            <w:r>
              <w:rPr>
                <w:rFonts w:hint="eastAsia" w:ascii="宋体" w:hAnsi="宋体" w:cs="宋体"/>
                <w:color w:val="auto"/>
                <w:kern w:val="0"/>
                <w:sz w:val="24"/>
                <w:highlight w:val="none"/>
                <w:u w:val="single"/>
                <w:lang w:eastAsia="zh-CN"/>
              </w:rPr>
              <w:t>博爱县人民医院无纸化病案管理系统采购项目</w:t>
            </w:r>
            <w:r>
              <w:rPr>
                <w:rFonts w:hint="default" w:ascii="宋体" w:hAnsi="宋体" w:cs="宋体"/>
                <w:color w:val="auto"/>
                <w:kern w:val="0"/>
                <w:sz w:val="24"/>
                <w:highlight w:val="none"/>
              </w:rPr>
              <w:t>招标项目的潜在</w:t>
            </w:r>
            <w:r>
              <w:rPr>
                <w:rFonts w:hint="eastAsia" w:ascii="宋体" w:hAnsi="宋体" w:cs="宋体"/>
                <w:color w:val="auto"/>
                <w:kern w:val="0"/>
                <w:sz w:val="24"/>
                <w:highlight w:val="none"/>
                <w:lang w:val="en-US" w:eastAsia="zh-CN"/>
              </w:rPr>
              <w:t>供应商</w:t>
            </w:r>
            <w:r>
              <w:rPr>
                <w:rFonts w:hint="default" w:ascii="宋体" w:hAnsi="宋体" w:cs="宋体"/>
                <w:color w:val="auto"/>
                <w:kern w:val="0"/>
                <w:sz w:val="24"/>
                <w:highlight w:val="none"/>
              </w:rPr>
              <w:t>应在焦作市公共资源交易中心网站获取</w:t>
            </w:r>
            <w:r>
              <w:rPr>
                <w:rFonts w:hint="eastAsia" w:ascii="宋体" w:hAnsi="宋体" w:cs="宋体"/>
                <w:color w:val="auto"/>
                <w:kern w:val="0"/>
                <w:sz w:val="24"/>
                <w:highlight w:val="none"/>
                <w:lang w:val="en-US" w:eastAsia="zh-CN"/>
              </w:rPr>
              <w:t>采购</w:t>
            </w:r>
            <w:r>
              <w:rPr>
                <w:rFonts w:hint="default" w:ascii="宋体" w:hAnsi="宋体" w:cs="宋体"/>
                <w:color w:val="auto"/>
                <w:kern w:val="0"/>
                <w:sz w:val="24"/>
                <w:highlight w:val="none"/>
              </w:rPr>
              <w:t>文件，并于202</w:t>
            </w:r>
            <w:r>
              <w:rPr>
                <w:rFonts w:hint="eastAsia" w:ascii="宋体" w:hAnsi="宋体" w:cs="宋体"/>
                <w:color w:val="auto"/>
                <w:kern w:val="0"/>
                <w:sz w:val="24"/>
                <w:highlight w:val="none"/>
                <w:lang w:val="en-US" w:eastAsia="zh-CN"/>
              </w:rPr>
              <w:t>6年3月4</w:t>
            </w:r>
            <w:r>
              <w:rPr>
                <w:rFonts w:hint="default" w:ascii="宋体" w:hAnsi="宋体" w:cs="宋体"/>
                <w:color w:val="auto"/>
                <w:kern w:val="0"/>
                <w:sz w:val="24"/>
                <w:highlight w:val="none"/>
              </w:rPr>
              <w:t>日</w:t>
            </w:r>
            <w:r>
              <w:rPr>
                <w:rFonts w:hint="eastAsia" w:ascii="宋体" w:hAnsi="宋体" w:cs="宋体"/>
                <w:color w:val="auto"/>
                <w:kern w:val="0"/>
                <w:sz w:val="24"/>
                <w:highlight w:val="none"/>
                <w:lang w:val="en-US" w:eastAsia="zh-CN"/>
              </w:rPr>
              <w:t xml:space="preserve">09 </w:t>
            </w:r>
            <w:r>
              <w:rPr>
                <w:rFonts w:hint="default" w:ascii="宋体" w:hAnsi="宋体" w:cs="宋体"/>
                <w:color w:val="auto"/>
                <w:kern w:val="0"/>
                <w:sz w:val="24"/>
                <w:highlight w:val="none"/>
              </w:rPr>
              <w:t>时</w:t>
            </w:r>
            <w:r>
              <w:rPr>
                <w:rFonts w:hint="eastAsia" w:ascii="宋体" w:hAnsi="宋体" w:cs="宋体"/>
                <w:color w:val="auto"/>
                <w:kern w:val="0"/>
                <w:sz w:val="24"/>
                <w:highlight w:val="none"/>
                <w:lang w:val="en-US" w:eastAsia="zh-CN"/>
              </w:rPr>
              <w:t>00</w:t>
            </w:r>
            <w:r>
              <w:rPr>
                <w:rFonts w:hint="default" w:ascii="宋体" w:hAnsi="宋体" w:cs="宋体"/>
                <w:color w:val="auto"/>
                <w:kern w:val="0"/>
                <w:sz w:val="24"/>
                <w:highlight w:val="none"/>
              </w:rPr>
              <w:t>分（北京时间）前递交响应文件。</w:t>
            </w:r>
          </w:p>
        </w:tc>
      </w:tr>
    </w:tbl>
    <w:p w14:paraId="63AFB725">
      <w:pPr>
        <w:pStyle w:val="70"/>
        <w:shd w:val="clear"/>
        <w:spacing w:line="360" w:lineRule="auto"/>
        <w:ind w:firstLine="482"/>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一、项目基本情况</w:t>
      </w:r>
    </w:p>
    <w:p w14:paraId="539540A6">
      <w:pPr>
        <w:shd w:val="clear"/>
        <w:adjustRightInd w:val="0"/>
        <w:snapToGrid w:val="0"/>
        <w:spacing w:line="360" w:lineRule="auto"/>
        <w:ind w:firstLine="480" w:firstLineChars="200"/>
        <w:rPr>
          <w:rFonts w:hint="default" w:ascii="宋体" w:hAnsi="宋体" w:cs="宋体"/>
          <w:color w:val="auto"/>
          <w:kern w:val="0"/>
          <w:sz w:val="24"/>
          <w:highlight w:val="none"/>
          <w:shd w:val="clear"/>
          <w:lang w:val="en-US" w:eastAsia="zh-CN"/>
        </w:rPr>
      </w:pPr>
      <w:r>
        <w:rPr>
          <w:rFonts w:hint="eastAsia" w:ascii="宋体" w:hAnsi="宋体" w:cs="宋体"/>
          <w:color w:val="auto"/>
          <w:kern w:val="0"/>
          <w:sz w:val="24"/>
          <w:highlight w:val="none"/>
          <w:lang w:eastAsia="zh-CN"/>
        </w:rPr>
        <w:t>1.项目编号：</w:t>
      </w:r>
      <w:r>
        <w:rPr>
          <w:rFonts w:hint="eastAsia" w:ascii="宋体" w:hAnsi="宋体" w:cs="宋体"/>
          <w:color w:val="auto"/>
          <w:kern w:val="0"/>
          <w:sz w:val="24"/>
          <w:highlight w:val="none"/>
          <w:shd w:val="clear"/>
          <w:lang w:val="en-US" w:eastAsia="zh-CN"/>
        </w:rPr>
        <w:t>博财谈判采购-2026-8</w:t>
      </w:r>
    </w:p>
    <w:p w14:paraId="12F1C692">
      <w:pPr>
        <w:shd w:val="clea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2.项目名称：</w:t>
      </w:r>
      <w:r>
        <w:rPr>
          <w:rFonts w:hint="eastAsia" w:ascii="宋体" w:hAnsi="宋体" w:cs="宋体"/>
          <w:color w:val="auto"/>
          <w:kern w:val="0"/>
          <w:sz w:val="24"/>
          <w:highlight w:val="none"/>
          <w:lang w:eastAsia="zh-CN"/>
        </w:rPr>
        <w:t>博爱县人民医院无纸化病案管理系统采购项目</w:t>
      </w:r>
      <w:r>
        <w:rPr>
          <w:rFonts w:hint="eastAsia" w:ascii="宋体" w:hAnsi="宋体" w:cs="宋体"/>
          <w:color w:val="auto"/>
          <w:kern w:val="0"/>
          <w:sz w:val="24"/>
          <w:highlight w:val="none"/>
        </w:rPr>
        <w:t>；</w:t>
      </w:r>
    </w:p>
    <w:p w14:paraId="2F954782">
      <w:pPr>
        <w:shd w:val="clea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3.采购方式：竞争性谈判；</w:t>
      </w:r>
    </w:p>
    <w:p w14:paraId="0B906AC1">
      <w:pPr>
        <w:shd w:val="clear"/>
        <w:adjustRightInd w:val="0"/>
        <w:snapToGri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4.预算金额：</w:t>
      </w:r>
      <w:r>
        <w:rPr>
          <w:rFonts w:hint="eastAsia" w:ascii="宋体" w:hAnsi="宋体" w:cs="宋体"/>
          <w:color w:val="auto"/>
          <w:kern w:val="0"/>
          <w:sz w:val="24"/>
          <w:highlight w:val="none"/>
          <w:lang w:val="en-US" w:eastAsia="zh-CN"/>
        </w:rPr>
        <w:t>950000</w:t>
      </w:r>
      <w:r>
        <w:rPr>
          <w:rFonts w:hint="eastAsia" w:ascii="宋体" w:hAnsi="宋体" w:cs="宋体"/>
          <w:color w:val="auto"/>
          <w:kern w:val="0"/>
          <w:sz w:val="24"/>
          <w:highlight w:val="none"/>
        </w:rPr>
        <w:t>元</w:t>
      </w:r>
      <w:r>
        <w:rPr>
          <w:rFonts w:hint="eastAsia" w:ascii="宋体" w:hAnsi="宋体" w:cs="宋体"/>
          <w:color w:val="auto"/>
          <w:kern w:val="0"/>
          <w:sz w:val="24"/>
          <w:highlight w:val="none"/>
          <w:lang w:eastAsia="zh-CN"/>
        </w:rPr>
        <w:t>；</w:t>
      </w:r>
    </w:p>
    <w:p w14:paraId="084138C4">
      <w:pPr>
        <w:shd w:val="clear"/>
        <w:adjustRightInd w:val="0"/>
        <w:snapToGrid w:val="0"/>
        <w:spacing w:line="360" w:lineRule="auto"/>
        <w:ind w:firstLine="720" w:firstLineChars="300"/>
        <w:rPr>
          <w:rFonts w:hint="eastAsia" w:ascii="宋体" w:hAnsi="宋体" w:cs="宋体"/>
          <w:color w:val="auto"/>
          <w:kern w:val="0"/>
          <w:sz w:val="24"/>
          <w:highlight w:val="none"/>
        </w:rPr>
      </w:pPr>
      <w:r>
        <w:rPr>
          <w:rFonts w:hint="eastAsia" w:ascii="宋体" w:hAnsi="宋体" w:cs="宋体"/>
          <w:color w:val="auto"/>
          <w:kern w:val="0"/>
          <w:sz w:val="24"/>
          <w:highlight w:val="none"/>
        </w:rPr>
        <w:t>最高限价：</w:t>
      </w:r>
      <w:r>
        <w:rPr>
          <w:rFonts w:hint="eastAsia" w:ascii="宋体" w:hAnsi="宋体" w:cs="宋体"/>
          <w:color w:val="auto"/>
          <w:kern w:val="0"/>
          <w:sz w:val="24"/>
          <w:highlight w:val="none"/>
          <w:lang w:val="en-US" w:eastAsia="zh-CN"/>
        </w:rPr>
        <w:t>950000</w:t>
      </w:r>
      <w:r>
        <w:rPr>
          <w:rFonts w:hint="eastAsia" w:ascii="宋体" w:hAnsi="宋体" w:cs="宋体"/>
          <w:color w:val="auto"/>
          <w:kern w:val="0"/>
          <w:sz w:val="24"/>
          <w:highlight w:val="none"/>
        </w:rPr>
        <w:t>元；</w:t>
      </w:r>
    </w:p>
    <w:tbl>
      <w:tblPr>
        <w:tblStyle w:val="2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2045"/>
        <w:gridCol w:w="3620"/>
        <w:gridCol w:w="1237"/>
        <w:gridCol w:w="1578"/>
      </w:tblGrid>
      <w:tr w14:paraId="45FE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332" w:type="pct"/>
            <w:noWrap/>
            <w:vAlign w:val="center"/>
          </w:tcPr>
          <w:p w14:paraId="399A6A4A">
            <w:pPr>
              <w:widowControl/>
              <w:shd w:val="clear"/>
              <w:jc w:val="center"/>
              <w:rPr>
                <w:rFonts w:hint="eastAsia" w:ascii="宋体" w:hAnsi="宋体" w:cs="宋体"/>
                <w:color w:val="auto"/>
                <w:sz w:val="24"/>
                <w:highlight w:val="none"/>
              </w:rPr>
            </w:pPr>
            <w:r>
              <w:rPr>
                <w:rFonts w:hint="eastAsia" w:ascii="宋体" w:hAnsi="宋体" w:cs="宋体"/>
                <w:color w:val="auto"/>
                <w:kern w:val="0"/>
                <w:sz w:val="24"/>
                <w:highlight w:val="none"/>
              </w:rPr>
              <w:t>序号</w:t>
            </w:r>
          </w:p>
        </w:tc>
        <w:tc>
          <w:tcPr>
            <w:tcW w:w="983" w:type="pct"/>
            <w:noWrap/>
            <w:vAlign w:val="center"/>
          </w:tcPr>
          <w:p w14:paraId="12AAE7D2">
            <w:pPr>
              <w:widowControl/>
              <w:shd w:val="clear"/>
              <w:jc w:val="center"/>
              <w:rPr>
                <w:rFonts w:hint="eastAsia" w:ascii="宋体" w:hAnsi="宋体" w:cs="宋体"/>
                <w:color w:val="auto"/>
                <w:sz w:val="24"/>
                <w:highlight w:val="none"/>
              </w:rPr>
            </w:pPr>
            <w:r>
              <w:rPr>
                <w:rFonts w:hint="eastAsia" w:ascii="宋体" w:hAnsi="宋体" w:cs="宋体"/>
                <w:color w:val="auto"/>
                <w:kern w:val="0"/>
                <w:sz w:val="24"/>
                <w:highlight w:val="none"/>
              </w:rPr>
              <w:t>包号</w:t>
            </w:r>
          </w:p>
        </w:tc>
        <w:tc>
          <w:tcPr>
            <w:tcW w:w="2178" w:type="pct"/>
            <w:noWrap/>
            <w:vAlign w:val="center"/>
          </w:tcPr>
          <w:p w14:paraId="3FB1909E">
            <w:pPr>
              <w:widowControl/>
              <w:shd w:val="clear"/>
              <w:jc w:val="center"/>
              <w:rPr>
                <w:rFonts w:hint="eastAsia" w:ascii="宋体" w:hAnsi="宋体" w:cs="宋体"/>
                <w:color w:val="auto"/>
                <w:sz w:val="24"/>
                <w:highlight w:val="none"/>
              </w:rPr>
            </w:pPr>
            <w:r>
              <w:rPr>
                <w:rFonts w:hint="eastAsia" w:ascii="宋体" w:hAnsi="宋体" w:cs="宋体"/>
                <w:color w:val="auto"/>
                <w:kern w:val="0"/>
                <w:sz w:val="24"/>
                <w:highlight w:val="none"/>
              </w:rPr>
              <w:t>包名称</w:t>
            </w:r>
          </w:p>
        </w:tc>
        <w:tc>
          <w:tcPr>
            <w:tcW w:w="668" w:type="pct"/>
            <w:noWrap/>
            <w:vAlign w:val="center"/>
          </w:tcPr>
          <w:p w14:paraId="037536FE">
            <w:pPr>
              <w:widowControl/>
              <w:shd w:val="clear"/>
              <w:jc w:val="center"/>
              <w:rPr>
                <w:rFonts w:hint="eastAsia" w:ascii="宋体" w:hAnsi="宋体" w:cs="宋体"/>
                <w:color w:val="auto"/>
                <w:sz w:val="24"/>
                <w:highlight w:val="none"/>
              </w:rPr>
            </w:pPr>
            <w:r>
              <w:rPr>
                <w:rFonts w:hint="eastAsia" w:ascii="宋体" w:hAnsi="宋体" w:cs="宋体"/>
                <w:color w:val="auto"/>
                <w:kern w:val="0"/>
                <w:sz w:val="24"/>
                <w:highlight w:val="none"/>
              </w:rPr>
              <w:t>包预算（元）</w:t>
            </w:r>
          </w:p>
        </w:tc>
        <w:tc>
          <w:tcPr>
            <w:tcW w:w="836" w:type="pct"/>
            <w:noWrap/>
            <w:vAlign w:val="center"/>
          </w:tcPr>
          <w:p w14:paraId="4AD81EF8">
            <w:pPr>
              <w:widowControl/>
              <w:shd w:val="clear"/>
              <w:jc w:val="center"/>
              <w:rPr>
                <w:rFonts w:hint="eastAsia" w:ascii="宋体" w:hAnsi="宋体" w:cs="宋体"/>
                <w:color w:val="auto"/>
                <w:sz w:val="24"/>
                <w:highlight w:val="none"/>
              </w:rPr>
            </w:pPr>
            <w:r>
              <w:rPr>
                <w:rFonts w:hint="eastAsia" w:ascii="宋体" w:hAnsi="宋体" w:cs="宋体"/>
                <w:color w:val="auto"/>
                <w:kern w:val="0"/>
                <w:sz w:val="24"/>
                <w:highlight w:val="none"/>
              </w:rPr>
              <w:t>包最高限价（元）</w:t>
            </w:r>
          </w:p>
        </w:tc>
      </w:tr>
      <w:tr w14:paraId="3D00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2" w:type="pct"/>
            <w:noWrap/>
            <w:vAlign w:val="center"/>
          </w:tcPr>
          <w:p w14:paraId="61C221A5">
            <w:pPr>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83" w:type="pct"/>
            <w:noWrap/>
            <w:vAlign w:val="center"/>
          </w:tcPr>
          <w:p w14:paraId="73CA9059">
            <w:pPr>
              <w:widowControl/>
              <w:shd w:val="clear"/>
              <w:jc w:val="center"/>
              <w:rPr>
                <w:rFonts w:hint="eastAsia" w:ascii="宋体" w:hAnsi="宋体" w:cs="宋体"/>
                <w:color w:val="auto"/>
                <w:szCs w:val="21"/>
                <w:highlight w:val="none"/>
              </w:rPr>
            </w:pPr>
            <w:r>
              <w:rPr>
                <w:rFonts w:hint="eastAsia" w:ascii="宋体" w:hAnsi="宋体" w:cs="宋体"/>
                <w:color w:val="auto"/>
                <w:kern w:val="0"/>
                <w:sz w:val="24"/>
                <w:highlight w:val="none"/>
                <w:lang w:eastAsia="zh-CN"/>
              </w:rPr>
              <w:t>博政采购（2026）4号</w:t>
            </w:r>
            <w:r>
              <w:rPr>
                <w:rFonts w:hint="eastAsia" w:ascii="宋体" w:hAnsi="宋体" w:cs="宋体"/>
                <w:color w:val="auto"/>
                <w:kern w:val="0"/>
                <w:sz w:val="24"/>
                <w:highlight w:val="none"/>
              </w:rPr>
              <w:t>-1</w:t>
            </w:r>
            <w:r>
              <w:rPr>
                <w:rFonts w:hint="eastAsia" w:ascii="宋体" w:hAnsi="宋体" w:cs="宋体"/>
                <w:color w:val="auto"/>
                <w:szCs w:val="21"/>
                <w:highlight w:val="none"/>
              </w:rPr>
              <w:t xml:space="preserve">   </w:t>
            </w:r>
          </w:p>
        </w:tc>
        <w:tc>
          <w:tcPr>
            <w:tcW w:w="2178" w:type="pct"/>
            <w:noWrap/>
            <w:vAlign w:val="center"/>
          </w:tcPr>
          <w:p w14:paraId="629451BF">
            <w:pPr>
              <w:widowControl/>
              <w:shd w:val="clear"/>
              <w:jc w:val="center"/>
              <w:rPr>
                <w:rFonts w:hint="eastAsia" w:ascii="宋体" w:hAnsi="宋体" w:eastAsia="宋体" w:cs="宋体"/>
                <w:color w:val="auto"/>
                <w:szCs w:val="21"/>
                <w:highlight w:val="none"/>
                <w:lang w:eastAsia="zh-CN"/>
              </w:rPr>
            </w:pPr>
            <w:r>
              <w:rPr>
                <w:rFonts w:hint="eastAsia" w:ascii="宋体" w:hAnsi="宋体" w:cs="宋体"/>
                <w:color w:val="auto"/>
                <w:kern w:val="0"/>
                <w:sz w:val="24"/>
                <w:highlight w:val="none"/>
                <w:lang w:eastAsia="zh-CN"/>
              </w:rPr>
              <w:t>博爱县人民医院无纸化病案管理系统采购项目</w:t>
            </w:r>
          </w:p>
        </w:tc>
        <w:tc>
          <w:tcPr>
            <w:tcW w:w="668" w:type="pct"/>
            <w:noWrap/>
            <w:vAlign w:val="center"/>
          </w:tcPr>
          <w:p w14:paraId="1246CF9F">
            <w:pPr>
              <w:widowControl/>
              <w:shd w:val="clea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950000</w:t>
            </w:r>
          </w:p>
        </w:tc>
        <w:tc>
          <w:tcPr>
            <w:tcW w:w="836" w:type="pct"/>
            <w:noWrap/>
            <w:vAlign w:val="center"/>
          </w:tcPr>
          <w:p w14:paraId="34FE2D29">
            <w:pPr>
              <w:widowControl/>
              <w:shd w:val="clear"/>
              <w:jc w:val="center"/>
              <w:rPr>
                <w:rFonts w:hint="eastAsia" w:ascii="宋体" w:hAnsi="宋体" w:eastAsia="宋体" w:cs="宋体"/>
                <w:color w:val="auto"/>
                <w:szCs w:val="21"/>
                <w:highlight w:val="none"/>
                <w:lang w:eastAsia="zh-CN"/>
              </w:rPr>
            </w:pPr>
            <w:r>
              <w:rPr>
                <w:rFonts w:hint="eastAsia" w:ascii="宋体" w:hAnsi="宋体" w:cs="宋体"/>
                <w:color w:val="auto"/>
                <w:kern w:val="0"/>
                <w:sz w:val="24"/>
                <w:highlight w:val="none"/>
                <w:lang w:val="en-US" w:eastAsia="zh-CN"/>
              </w:rPr>
              <w:t>950000</w:t>
            </w:r>
          </w:p>
        </w:tc>
      </w:tr>
    </w:tbl>
    <w:p w14:paraId="58AD4BDB">
      <w:pPr>
        <w:shd w:val="clear"/>
        <w:adjustRightInd w:val="0"/>
        <w:snapToGrid w:val="0"/>
        <w:spacing w:line="360" w:lineRule="auto"/>
        <w:ind w:firstLine="200" w:firstLineChars="200"/>
        <w:rPr>
          <w:rFonts w:hint="eastAsia" w:ascii="宋体" w:hAnsi="宋体" w:cs="宋体"/>
          <w:color w:val="auto"/>
          <w:kern w:val="0"/>
          <w:sz w:val="10"/>
          <w:szCs w:val="10"/>
          <w:highlight w:val="none"/>
        </w:rPr>
      </w:pPr>
    </w:p>
    <w:p w14:paraId="3533912F">
      <w:pPr>
        <w:numPr>
          <w:ilvl w:val="0"/>
          <w:numId w:val="0"/>
        </w:numPr>
        <w:shd w:val="clea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5.</w:t>
      </w:r>
      <w:r>
        <w:rPr>
          <w:rFonts w:hint="eastAsia" w:ascii="宋体" w:hAnsi="宋体" w:cs="宋体"/>
          <w:color w:val="auto"/>
          <w:kern w:val="0"/>
          <w:sz w:val="24"/>
          <w:highlight w:val="none"/>
        </w:rPr>
        <w:t>采购需求（包括但不限于标的的名称、数量、简要技术需求或服务要求等）：</w:t>
      </w:r>
    </w:p>
    <w:p w14:paraId="1C4CCD86">
      <w:pPr>
        <w:numPr>
          <w:ilvl w:val="0"/>
          <w:numId w:val="0"/>
        </w:numPr>
        <w:shd w:val="clear"/>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（1）采购范围：</w:t>
      </w:r>
      <w:r>
        <w:rPr>
          <w:rFonts w:hint="eastAsia" w:ascii="宋体" w:cs="宋体"/>
          <w:bCs/>
          <w:color w:val="auto"/>
          <w:sz w:val="24"/>
          <w:highlight w:val="none"/>
          <w:lang w:val="en-US" w:eastAsia="zh-CN"/>
        </w:rPr>
        <w:t>采购无纸化病案系统软件等（具体要求详见谈判文件）</w:t>
      </w:r>
      <w:r>
        <w:rPr>
          <w:rFonts w:hint="eastAsia" w:ascii="宋体" w:hAnsi="宋体" w:cs="宋体"/>
          <w:color w:val="auto"/>
          <w:kern w:val="0"/>
          <w:sz w:val="24"/>
          <w:highlight w:val="none"/>
          <w:lang w:val="en-US" w:eastAsia="zh-CN"/>
        </w:rPr>
        <w:t>；</w:t>
      </w:r>
    </w:p>
    <w:p w14:paraId="54834CB1">
      <w:pPr>
        <w:numPr>
          <w:ilvl w:val="0"/>
          <w:numId w:val="0"/>
        </w:numPr>
        <w:shd w:val="clear"/>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（2）质量要求：合格，符合国家及行业规范标准</w:t>
      </w:r>
      <w:r>
        <w:rPr>
          <w:rFonts w:hint="eastAsia" w:ascii="宋体" w:cs="宋体"/>
          <w:bCs/>
          <w:color w:val="auto"/>
          <w:sz w:val="24"/>
          <w:highlight w:val="none"/>
          <w:lang w:eastAsia="zh-CN"/>
        </w:rPr>
        <w:t>；</w:t>
      </w:r>
    </w:p>
    <w:p w14:paraId="2BC00B5D">
      <w:pPr>
        <w:shd w:val="clear"/>
        <w:adjustRightInd w:val="0"/>
        <w:snapToGrid w:val="0"/>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合同履行期限</w:t>
      </w:r>
      <w:r>
        <w:rPr>
          <w:rFonts w:hint="eastAsia" w:ascii="宋体" w:hAnsi="宋体" w:cs="宋体"/>
          <w:color w:val="auto"/>
          <w:kern w:val="0"/>
          <w:sz w:val="24"/>
          <w:highlight w:val="none"/>
          <w:lang w:eastAsia="zh-CN"/>
        </w:rPr>
        <w:t>：自合同签订之日起</w:t>
      </w:r>
      <w:r>
        <w:rPr>
          <w:rFonts w:hint="eastAsia" w:ascii="宋体" w:hAnsi="宋体" w:cs="宋体"/>
          <w:color w:val="auto"/>
          <w:kern w:val="0"/>
          <w:sz w:val="24"/>
          <w:highlight w:val="none"/>
          <w:lang w:val="en-US" w:eastAsia="zh-CN"/>
        </w:rPr>
        <w:t>180日历</w:t>
      </w:r>
      <w:r>
        <w:rPr>
          <w:rFonts w:hint="eastAsia" w:ascii="宋体" w:hAnsi="宋体" w:cs="宋体"/>
          <w:color w:val="auto"/>
          <w:kern w:val="0"/>
          <w:sz w:val="24"/>
          <w:highlight w:val="none"/>
          <w:lang w:eastAsia="zh-CN"/>
        </w:rPr>
        <w:t>天</w:t>
      </w:r>
      <w:r>
        <w:rPr>
          <w:rFonts w:hint="eastAsia" w:ascii="宋体" w:hAnsi="宋体" w:cs="宋体"/>
          <w:color w:val="auto"/>
          <w:kern w:val="0"/>
          <w:sz w:val="24"/>
          <w:highlight w:val="none"/>
          <w:lang w:val="en-US" w:eastAsia="zh-CN"/>
        </w:rPr>
        <w:t>；</w:t>
      </w:r>
    </w:p>
    <w:p w14:paraId="2EAE6C2D">
      <w:pPr>
        <w:shd w:val="clea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.本项目是否接受联合体投标：否；</w:t>
      </w:r>
    </w:p>
    <w:p w14:paraId="12A27240">
      <w:pPr>
        <w:shd w:val="clea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.是否接受进口产品：否；</w:t>
      </w:r>
    </w:p>
    <w:p w14:paraId="62BC96A0">
      <w:pPr>
        <w:shd w:val="clea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.是否只面向中小企业采购：</w:t>
      </w:r>
      <w:r>
        <w:rPr>
          <w:rFonts w:hint="eastAsia" w:ascii="宋体" w:hAnsi="宋体" w:cs="宋体"/>
          <w:color w:val="auto"/>
          <w:kern w:val="0"/>
          <w:sz w:val="24"/>
          <w:highlight w:val="none"/>
          <w:lang w:val="en-US" w:eastAsia="zh-CN"/>
        </w:rPr>
        <w:t>否</w:t>
      </w:r>
      <w:r>
        <w:rPr>
          <w:rFonts w:hint="eastAsia" w:ascii="宋体" w:hAnsi="宋体" w:cs="宋体"/>
          <w:color w:val="auto"/>
          <w:kern w:val="0"/>
          <w:sz w:val="24"/>
          <w:highlight w:val="none"/>
        </w:rPr>
        <w:t>。</w:t>
      </w:r>
    </w:p>
    <w:p w14:paraId="684E7560">
      <w:pPr>
        <w:shd w:val="clear"/>
        <w:adjustRightInd w:val="0"/>
        <w:snapToGrid w:val="0"/>
        <w:spacing w:line="360" w:lineRule="auto"/>
        <w:ind w:firstLine="482" w:firstLineChars="200"/>
        <w:rPr>
          <w:rFonts w:hint="eastAsia" w:ascii="宋体" w:hAnsi="宋体" w:cs="宋体"/>
          <w:color w:val="auto"/>
          <w:kern w:val="0"/>
          <w:sz w:val="24"/>
          <w:highlight w:val="none"/>
        </w:rPr>
      </w:pPr>
      <w:r>
        <w:rPr>
          <w:rFonts w:hint="eastAsia" w:ascii="宋体" w:hAnsi="宋体" w:cs="宋体"/>
          <w:b/>
          <w:bCs/>
          <w:color w:val="auto"/>
          <w:kern w:val="0"/>
          <w:sz w:val="24"/>
          <w:highlight w:val="none"/>
        </w:rPr>
        <w:t>二、申请人资格要求</w:t>
      </w:r>
    </w:p>
    <w:p w14:paraId="6154A620">
      <w:pPr>
        <w:keepNext w:val="0"/>
        <w:keepLines w:val="0"/>
        <w:pageBreakBefore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1.符合《中华人民共和国政府采购法》第二十二条之规定；</w:t>
      </w:r>
    </w:p>
    <w:p w14:paraId="79754EED">
      <w:pPr>
        <w:keepNext w:val="0"/>
        <w:keepLines w:val="0"/>
        <w:pageBreakBefore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2.落实政府采购政策需满足的资格要求：促进中小企业和监狱企业发展扶持政策、政府强制采购节能产品、节能产品及环境标志产品优先采购。</w:t>
      </w:r>
    </w:p>
    <w:p w14:paraId="409CA516">
      <w:pPr>
        <w:keepNext w:val="0"/>
        <w:keepLines w:val="0"/>
        <w:pageBreakBefore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3.本项目的特定资格要求：</w:t>
      </w:r>
    </w:p>
    <w:p w14:paraId="3C0428BC">
      <w:pPr>
        <w:keepNext w:val="0"/>
        <w:keepLines w:val="0"/>
        <w:pageBreakBefore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3.1供应商须具有有效的营业执照，并具有实施完成本项目的经营实力和完善的售后服务体系；</w:t>
      </w:r>
    </w:p>
    <w:p w14:paraId="6DB3F5D1">
      <w:pPr>
        <w:keepNext w:val="0"/>
        <w:keepLines w:val="0"/>
        <w:pageBreakBefore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p>
    <w:p w14:paraId="71CDE9D5">
      <w:pPr>
        <w:keepNext w:val="0"/>
        <w:keepLines w:val="0"/>
        <w:pageBreakBefore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3.3本项目不接受联合体投标；</w:t>
      </w:r>
    </w:p>
    <w:p w14:paraId="3685F911">
      <w:pPr>
        <w:keepNext w:val="0"/>
        <w:keepLines w:val="0"/>
        <w:pageBreakBefore w:val="0"/>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3.4资格审查方式：资格后审。</w:t>
      </w:r>
    </w:p>
    <w:p w14:paraId="501DD379">
      <w:pPr>
        <w:keepNext w:val="0"/>
        <w:keepLines w:val="0"/>
        <w:pageBreakBefore w:val="0"/>
        <w:widowControl/>
        <w:shd w:val="clear"/>
        <w:kinsoku/>
        <w:wordWrap/>
        <w:overflowPunct/>
        <w:topLinePunct w:val="0"/>
        <w:autoSpaceDE/>
        <w:autoSpaceDN/>
        <w:bidi w:val="0"/>
        <w:spacing w:line="440" w:lineRule="exact"/>
        <w:ind w:firstLine="482" w:firstLineChars="200"/>
        <w:jc w:val="left"/>
        <w:textAlignment w:val="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三、获取采购文件</w:t>
      </w:r>
    </w:p>
    <w:p w14:paraId="2DF82D25">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2月27</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3月2</w:t>
      </w:r>
      <w:r>
        <w:rPr>
          <w:rFonts w:hint="eastAsia" w:ascii="宋体" w:hAnsi="宋体" w:cs="宋体"/>
          <w:color w:val="auto"/>
          <w:sz w:val="24"/>
          <w:highlight w:val="none"/>
        </w:rPr>
        <w:t>日，每天上午00:00至12:00，下午12:00至23:59（北京时间，法定节假日除外）；</w:t>
      </w:r>
    </w:p>
    <w:p w14:paraId="4C1071AD">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2.地点：焦作市公共资源交易中心网站；</w:t>
      </w:r>
    </w:p>
    <w:p w14:paraId="640915FC">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3.方式：本项目采用电子开评标（不见面开标），凡有意参加投标者，请登陆焦作市公共资源交易中心网站交易平台“交易主体登录”栏目下载采购文件；</w:t>
      </w:r>
    </w:p>
    <w:p w14:paraId="5DE55759">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4.售价：0元。</w:t>
      </w:r>
    </w:p>
    <w:p w14:paraId="148FCCDE">
      <w:pPr>
        <w:shd w:val="clear"/>
        <w:adjustRightInd w:val="0"/>
        <w:snapToGrid w:val="0"/>
        <w:spacing w:line="360" w:lineRule="auto"/>
        <w:ind w:firstLine="482" w:firstLineChars="200"/>
        <w:rPr>
          <w:rFonts w:hint="default"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rPr>
        <w:t>四、</w:t>
      </w:r>
      <w:r>
        <w:rPr>
          <w:rFonts w:hint="eastAsia" w:ascii="宋体" w:hAnsi="宋体" w:cs="宋体"/>
          <w:b/>
          <w:color w:val="auto"/>
          <w:kern w:val="0"/>
          <w:sz w:val="24"/>
          <w:highlight w:val="none"/>
          <w:lang w:val="en-US" w:eastAsia="zh-CN"/>
        </w:rPr>
        <w:t>响应文件提交</w:t>
      </w:r>
    </w:p>
    <w:p w14:paraId="4F4DE602">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3月4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w:t>
      </w:r>
    </w:p>
    <w:p w14:paraId="6A540D1D">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2.地点：加密电子投标文件须在投标截止时间前通过“焦作市公共资源交易中心（http://ggzy.jiaozuo.gov.cn/） ”网站-交易平台加密上传。</w:t>
      </w:r>
    </w:p>
    <w:p w14:paraId="373B6291">
      <w:pPr>
        <w:shd w:val="clear"/>
        <w:adjustRightInd w:val="0"/>
        <w:snapToGrid w:val="0"/>
        <w:spacing w:line="360" w:lineRule="auto"/>
        <w:ind w:firstLine="482" w:firstLineChars="200"/>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rPr>
        <w:t>五、</w:t>
      </w:r>
      <w:r>
        <w:rPr>
          <w:rFonts w:hint="eastAsia" w:ascii="宋体" w:hAnsi="宋体" w:cs="宋体"/>
          <w:b/>
          <w:bCs/>
          <w:color w:val="auto"/>
          <w:kern w:val="0"/>
          <w:sz w:val="24"/>
          <w:highlight w:val="none"/>
          <w:lang w:val="en-US" w:eastAsia="zh-CN"/>
        </w:rPr>
        <w:t>响应文件开启</w:t>
      </w:r>
    </w:p>
    <w:p w14:paraId="0A7324EA">
      <w:pPr>
        <w:shd w:val="clea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3月4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w:t>
      </w:r>
      <w:r>
        <w:rPr>
          <w:rFonts w:hint="eastAsia" w:ascii="宋体" w:hAnsi="宋体" w:cs="宋体"/>
          <w:color w:val="auto"/>
          <w:kern w:val="0"/>
          <w:sz w:val="24"/>
          <w:highlight w:val="none"/>
        </w:rPr>
        <w:t>；</w:t>
      </w:r>
    </w:p>
    <w:p w14:paraId="72D72273">
      <w:pPr>
        <w:shd w:val="clea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2.地点：博爱县公共资源交易中心</w:t>
      </w:r>
      <w:r>
        <w:rPr>
          <w:rFonts w:hint="eastAsia" w:ascii="宋体" w:hAnsi="宋体" w:cs="宋体"/>
          <w:color w:val="auto"/>
          <w:sz w:val="24"/>
          <w:highlight w:val="none"/>
          <w:shd w:val="clear" w:color="auto" w:fill="FFFFFF"/>
        </w:rPr>
        <w:t>二楼</w:t>
      </w:r>
      <w:r>
        <w:rPr>
          <w:rFonts w:hint="eastAsia" w:ascii="宋体" w:hAnsi="宋体" w:cs="宋体"/>
          <w:color w:val="auto"/>
          <w:kern w:val="0"/>
          <w:sz w:val="24"/>
          <w:highlight w:val="none"/>
        </w:rPr>
        <w:t>不见面开标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二</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室。</w:t>
      </w:r>
    </w:p>
    <w:p w14:paraId="4D15F030">
      <w:pPr>
        <w:shd w:val="clear"/>
        <w:adjustRightInd w:val="0"/>
        <w:snapToGrid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六、发布公告的媒介及</w:t>
      </w:r>
      <w:r>
        <w:rPr>
          <w:rFonts w:hint="eastAsia" w:ascii="宋体" w:hAnsi="宋体" w:cs="宋体"/>
          <w:b/>
          <w:bCs/>
          <w:color w:val="auto"/>
          <w:sz w:val="24"/>
          <w:highlight w:val="none"/>
          <w:lang w:val="en-US" w:eastAsia="zh-CN"/>
        </w:rPr>
        <w:t>招标</w:t>
      </w:r>
      <w:r>
        <w:rPr>
          <w:rFonts w:hint="eastAsia" w:ascii="宋体" w:hAnsi="宋体" w:cs="宋体"/>
          <w:b/>
          <w:bCs/>
          <w:color w:val="auto"/>
          <w:sz w:val="24"/>
          <w:highlight w:val="none"/>
        </w:rPr>
        <w:t>公告期限</w:t>
      </w:r>
    </w:p>
    <w:p w14:paraId="49F034B2">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公告在《中国招标投标公共服务平台》、《河南省政府采购网》、《焦作市政府采购网》、《焦作市公共资源交易中心网》、《博爱县公共资源交易中心网》http://ggzy.boai.gov.cn/上发布。</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 xml:space="preserve">公告期限为三个工作日。 </w:t>
      </w:r>
    </w:p>
    <w:p w14:paraId="2A8A4151">
      <w:pPr>
        <w:keepNext w:val="0"/>
        <w:keepLines w:val="0"/>
        <w:pageBreakBefore w:val="0"/>
        <w:widowControl w:val="0"/>
        <w:shd w:val="clear"/>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七、其他补充事宜</w:t>
      </w:r>
    </w:p>
    <w:p w14:paraId="71660310">
      <w:pPr>
        <w:keepNext w:val="0"/>
        <w:keepLines w:val="0"/>
        <w:pageBreakBefore w:val="0"/>
        <w:widowControl w:val="0"/>
        <w:shd w:val="clear"/>
        <w:tabs>
          <w:tab w:val="left" w:pos="8820"/>
        </w:tabs>
        <w:kinsoku/>
        <w:wordWrap/>
        <w:overflowPunct/>
        <w:topLinePunct w:val="0"/>
        <w:autoSpaceDE/>
        <w:autoSpaceDN/>
        <w:bidi w:val="0"/>
        <w:adjustRightInd w:val="0"/>
        <w:snapToGrid w:val="0"/>
        <w:spacing w:before="79" w:beforeLines="20" w:after="79" w:afterLines="20" w:line="440" w:lineRule="exact"/>
        <w:ind w:firstLine="504" w:firstLineChars="200"/>
        <w:textAlignment w:val="auto"/>
        <w:rPr>
          <w:rFonts w:hint="eastAsia" w:ascii="宋体" w:hAnsi="宋体" w:cs="宋体"/>
          <w:color w:val="auto"/>
          <w:spacing w:val="6"/>
          <w:sz w:val="24"/>
          <w:highlight w:val="none"/>
        </w:rPr>
      </w:pPr>
      <w:r>
        <w:rPr>
          <w:rFonts w:hint="eastAsia" w:ascii="宋体" w:hAnsi="宋体" w:cs="宋体"/>
          <w:color w:val="auto"/>
          <w:spacing w:val="6"/>
          <w:sz w:val="24"/>
          <w:highlight w:val="none"/>
        </w:rPr>
        <w:t>1.本项目采用“远程不见面”的开标方式，潜在投标人可提前在焦作市交易中心官网首页---下载中心--下载《焦作市电子招投标系统操作手册》和《焦作</w:t>
      </w:r>
    </w:p>
    <w:p w14:paraId="548A1E83">
      <w:pPr>
        <w:keepNext w:val="0"/>
        <w:keepLines w:val="0"/>
        <w:pageBreakBefore w:val="0"/>
        <w:widowControl w:val="0"/>
        <w:shd w:val="clear"/>
        <w:tabs>
          <w:tab w:val="left" w:pos="8820"/>
        </w:tabs>
        <w:kinsoku/>
        <w:wordWrap/>
        <w:overflowPunct/>
        <w:topLinePunct w:val="0"/>
        <w:autoSpaceDE/>
        <w:autoSpaceDN/>
        <w:bidi w:val="0"/>
        <w:adjustRightInd w:val="0"/>
        <w:snapToGrid w:val="0"/>
        <w:spacing w:line="440" w:lineRule="exact"/>
        <w:textAlignment w:val="auto"/>
        <w:rPr>
          <w:rFonts w:hint="eastAsia" w:ascii="宋体" w:hAnsi="宋体" w:cs="宋体"/>
          <w:color w:val="auto"/>
          <w:sz w:val="24"/>
          <w:highlight w:val="none"/>
        </w:rPr>
      </w:pPr>
      <w:r>
        <w:rPr>
          <w:rFonts w:hint="eastAsia" w:ascii="宋体" w:hAnsi="宋体" w:cs="宋体"/>
          <w:color w:val="auto"/>
          <w:spacing w:val="6"/>
          <w:sz w:val="24"/>
          <w:highlight w:val="none"/>
        </w:rPr>
        <w:t>市公共资源</w:t>
      </w:r>
      <w:r>
        <w:rPr>
          <w:rFonts w:hint="eastAsia" w:ascii="宋体" w:hAnsi="宋体" w:cs="宋体"/>
          <w:color w:val="auto"/>
          <w:sz w:val="24"/>
          <w:highlight w:val="none"/>
        </w:rPr>
        <w:t>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14:paraId="721D583D">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http://ggzy.jiaozuo.gov.cn/BidOpeningHall/bidhall/default/login）进行签到，按要求解密投标文件。因文件未及时上传导致投标失败的责任由投标人自行承担，具体要求详见招标文件。平台统一技术服务电话：400-998-0000，服务QQ：4008503300，服务时间：周一至周日8：00-17：30。 </w:t>
      </w:r>
    </w:p>
    <w:p w14:paraId="02345A21">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w:t>
      </w:r>
    </w:p>
    <w:p w14:paraId="0D486D3E">
      <w:pPr>
        <w:shd w:val="clear"/>
        <w:adjustRightInd w:val="0"/>
        <w:snapToGrid w:val="0"/>
        <w:spacing w:line="360" w:lineRule="auto"/>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八、</w:t>
      </w:r>
      <w:r>
        <w:rPr>
          <w:rFonts w:hint="eastAsia" w:ascii="宋体" w:hAnsi="宋体" w:cs="宋体"/>
          <w:b/>
          <w:color w:val="auto"/>
          <w:sz w:val="24"/>
          <w:highlight w:val="none"/>
          <w:shd w:val="clear" w:color="auto" w:fill="FFFFFF"/>
        </w:rPr>
        <w:t>凡对本次采购提出询问，请按以下方式联系</w:t>
      </w:r>
    </w:p>
    <w:p w14:paraId="6A0B5063">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1、采购人信息：</w:t>
      </w:r>
    </w:p>
    <w:p w14:paraId="70E20583">
      <w:pPr>
        <w:shd w:val="clea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博爱县人民医院</w:t>
      </w:r>
    </w:p>
    <w:p w14:paraId="5410C881">
      <w:pPr>
        <w:shd w:val="clear"/>
        <w:adjustRightInd w:val="0"/>
        <w:snapToGrid w:val="0"/>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 xml:space="preserve">地  </w:t>
      </w:r>
      <w:r>
        <w:rPr>
          <w:rFonts w:hint="eastAsia" w:ascii="宋体" w:hAnsi="宋体" w:eastAsia="宋体" w:cs="宋体"/>
          <w:color w:val="auto"/>
          <w:sz w:val="24"/>
          <w:highlight w:val="none"/>
          <w:lang w:eastAsia="zh-CN"/>
        </w:rPr>
        <w:t>址：</w:t>
      </w:r>
      <w:r>
        <w:rPr>
          <w:rFonts w:hint="eastAsia" w:ascii="宋体" w:hAnsi="宋体" w:cs="宋体"/>
          <w:color w:val="auto"/>
          <w:sz w:val="24"/>
          <w:highlight w:val="none"/>
          <w:lang w:eastAsia="zh-CN"/>
        </w:rPr>
        <w:t>焦作市博爱县清化镇滨河路1号</w:t>
      </w:r>
    </w:p>
    <w:p w14:paraId="156F579A">
      <w:pPr>
        <w:shd w:val="clea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原先生 </w:t>
      </w:r>
    </w:p>
    <w:p w14:paraId="53F4EE38">
      <w:pPr>
        <w:shd w:val="clea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eastAsia="zh-CN"/>
        </w:rPr>
        <w:t>15938145100</w:t>
      </w:r>
    </w:p>
    <w:p w14:paraId="46C33772">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7765E64C">
      <w:pPr>
        <w:shd w:val="clea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河南中达豫通项目管理有限公司</w:t>
      </w:r>
    </w:p>
    <w:p w14:paraId="5DBCE7F4">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博爱县鸿昌街道办事处团结路北段商务局院内三楼</w:t>
      </w:r>
      <w:r>
        <w:rPr>
          <w:rFonts w:hint="eastAsia" w:ascii="宋体" w:hAnsi="宋体" w:cs="宋体"/>
          <w:color w:val="auto"/>
          <w:sz w:val="24"/>
          <w:highlight w:val="none"/>
          <w:lang w:val="en-US" w:eastAsia="zh-CN"/>
        </w:rPr>
        <w:t xml:space="preserve"> </w:t>
      </w:r>
    </w:p>
    <w:p w14:paraId="1984E564">
      <w:pPr>
        <w:shd w:val="clear"/>
        <w:adjustRightInd w:val="0"/>
        <w:snapToGrid w:val="0"/>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秦先生</w:t>
      </w:r>
      <w:r>
        <w:rPr>
          <w:rFonts w:hint="eastAsia" w:ascii="宋体" w:hAnsi="宋体" w:cs="宋体"/>
          <w:color w:val="auto"/>
          <w:sz w:val="24"/>
          <w:highlight w:val="none"/>
          <w:lang w:val="en-US" w:eastAsia="zh-CN"/>
        </w:rPr>
        <w:t xml:space="preserve"> </w:t>
      </w:r>
    </w:p>
    <w:p w14:paraId="5B7C60F6">
      <w:pPr>
        <w:shd w:val="clear"/>
        <w:autoSpaceDE w:val="0"/>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eastAsia="zh-CN"/>
        </w:rPr>
        <w:t>18339791590</w:t>
      </w:r>
      <w:r>
        <w:rPr>
          <w:rFonts w:hint="eastAsia" w:ascii="宋体" w:hAnsi="宋体" w:cs="宋体"/>
          <w:color w:val="auto"/>
          <w:sz w:val="24"/>
          <w:highlight w:val="none"/>
          <w:lang w:val="en-US" w:eastAsia="zh-CN"/>
        </w:rPr>
        <w:t xml:space="preserve"> </w:t>
      </w:r>
    </w:p>
    <w:p w14:paraId="09AAE512">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3.项目联系方式</w:t>
      </w:r>
    </w:p>
    <w:p w14:paraId="35D0FA77">
      <w:pPr>
        <w:shd w:val="clear"/>
        <w:adjustRightInd w:val="0"/>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秦先生</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p>
    <w:p w14:paraId="19585158">
      <w:pPr>
        <w:shd w:val="clea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lang w:eastAsia="zh-CN"/>
        </w:rPr>
        <w:t>18339791590</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p>
    <w:p w14:paraId="0DD3C556">
      <w:pPr>
        <w:keepNext w:val="0"/>
        <w:keepLines w:val="0"/>
        <w:pageBreakBefore w:val="0"/>
        <w:shd w:val="clear"/>
        <w:kinsoku/>
        <w:wordWrap/>
        <w:overflowPunct/>
        <w:topLinePunct w:val="0"/>
        <w:autoSpaceDE/>
        <w:autoSpaceDN/>
        <w:bidi w:val="0"/>
        <w:adjustRightInd w:val="0"/>
        <w:snapToGrid w:val="0"/>
        <w:spacing w:line="400" w:lineRule="exact"/>
        <w:ind w:left="0" w:leftChars="0" w:firstLine="3998" w:firstLineChars="1666"/>
        <w:jc w:val="righ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 购 人：</w:t>
      </w:r>
      <w:r>
        <w:rPr>
          <w:rFonts w:hint="eastAsia" w:ascii="宋体" w:hAnsi="宋体" w:cs="宋体"/>
          <w:color w:val="auto"/>
          <w:sz w:val="24"/>
          <w:highlight w:val="none"/>
          <w:lang w:eastAsia="zh-CN"/>
        </w:rPr>
        <w:t>博爱县人民医院</w:t>
      </w:r>
    </w:p>
    <w:p w14:paraId="50D86D5B">
      <w:pPr>
        <w:keepNext w:val="0"/>
        <w:keepLines w:val="0"/>
        <w:pageBreakBefore w:val="0"/>
        <w:widowControl/>
        <w:shd w:val="clear"/>
        <w:kinsoku/>
        <w:wordWrap/>
        <w:overflowPunct/>
        <w:topLinePunct w:val="0"/>
        <w:autoSpaceDE/>
        <w:autoSpaceDN/>
        <w:bidi w:val="0"/>
        <w:spacing w:line="400" w:lineRule="exact"/>
        <w:jc w:val="righ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河南中达豫通项目管理有限公司</w:t>
      </w:r>
    </w:p>
    <w:p w14:paraId="257E5EC6">
      <w:pPr>
        <w:keepNext w:val="0"/>
        <w:keepLines w:val="0"/>
        <w:pageBreakBefore w:val="0"/>
        <w:widowControl/>
        <w:shd w:val="clear"/>
        <w:kinsoku/>
        <w:wordWrap/>
        <w:overflowPunct/>
        <w:topLinePunct w:val="0"/>
        <w:autoSpaceDE/>
        <w:autoSpaceDN/>
        <w:bidi w:val="0"/>
        <w:spacing w:line="400" w:lineRule="exact"/>
        <w:ind w:left="0" w:leftChars="0" w:firstLine="3998" w:firstLineChars="1666"/>
        <w:jc w:val="right"/>
        <w:textAlignment w:val="auto"/>
        <w:rPr>
          <w:rFonts w:hint="eastAsia" w:ascii="宋体" w:hAnsi="宋体" w:cs="宋体"/>
          <w:color w:val="auto"/>
          <w:sz w:val="24"/>
          <w:highlight w:val="none"/>
        </w:rPr>
      </w:pPr>
      <w:r>
        <w:rPr>
          <w:rFonts w:hint="eastAsia" w:ascii="宋体" w:hAnsi="宋体" w:cs="宋体"/>
          <w:color w:val="auto"/>
          <w:sz w:val="24"/>
          <w:highlight w:val="none"/>
        </w:rPr>
        <w:t>发布时间：202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2月26</w:t>
      </w:r>
      <w:r>
        <w:rPr>
          <w:rFonts w:hint="eastAsia" w:ascii="宋体" w:hAnsi="宋体" w:cs="宋体"/>
          <w:color w:val="auto"/>
          <w:sz w:val="24"/>
          <w:highlight w:val="none"/>
        </w:rPr>
        <w:t>日</w:t>
      </w:r>
      <w:bookmarkEnd w:id="3"/>
    </w:p>
    <w:p w14:paraId="561E2D5D">
      <w:pPr>
        <w:shd w:val="clear"/>
        <w:rPr>
          <w:rFonts w:hint="eastAsia"/>
          <w:b/>
          <w:bCs/>
          <w:color w:val="auto"/>
          <w:kern w:val="0"/>
          <w:sz w:val="28"/>
          <w:szCs w:val="28"/>
          <w:highlight w:val="none"/>
        </w:rPr>
      </w:pPr>
      <w:r>
        <w:rPr>
          <w:rFonts w:hint="eastAsia"/>
          <w:b/>
          <w:bCs/>
          <w:color w:val="auto"/>
          <w:kern w:val="0"/>
          <w:sz w:val="28"/>
          <w:szCs w:val="28"/>
          <w:highlight w:val="none"/>
        </w:rPr>
        <w:br w:type="page"/>
      </w:r>
    </w:p>
    <w:p w14:paraId="54170A00">
      <w:pPr>
        <w:widowControl/>
        <w:shd w:val="clear"/>
        <w:spacing w:line="360" w:lineRule="auto"/>
        <w:jc w:val="center"/>
        <w:rPr>
          <w:b/>
          <w:bCs/>
          <w:color w:val="auto"/>
          <w:kern w:val="0"/>
          <w:sz w:val="28"/>
          <w:szCs w:val="28"/>
          <w:highlight w:val="none"/>
        </w:rPr>
      </w:pPr>
      <w:r>
        <w:rPr>
          <w:rFonts w:hint="eastAsia"/>
          <w:b/>
          <w:bCs/>
          <w:color w:val="auto"/>
          <w:kern w:val="0"/>
          <w:sz w:val="28"/>
          <w:szCs w:val="28"/>
          <w:highlight w:val="none"/>
        </w:rPr>
        <w:t>投标须知前附表</w:t>
      </w:r>
      <w:bookmarkEnd w:id="0"/>
      <w:bookmarkEnd w:id="1"/>
      <w:bookmarkEnd w:id="2"/>
      <w:bookmarkEnd w:id="4"/>
    </w:p>
    <w:tbl>
      <w:tblPr>
        <w:tblStyle w:val="28"/>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547"/>
      </w:tblGrid>
      <w:tr w14:paraId="224D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2" w:type="dxa"/>
          </w:tcPr>
          <w:p w14:paraId="12E786B5">
            <w:pPr>
              <w:pStyle w:val="74"/>
              <w:widowControl w:val="0"/>
              <w:pBdr>
                <w:bottom w:val="none" w:color="auto" w:sz="0" w:space="0"/>
              </w:pBdr>
              <w:shd w:val="clear"/>
              <w:spacing w:beforeAutospacing="0" w:afterAutospacing="0" w:line="360" w:lineRule="auto"/>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8547" w:type="dxa"/>
          </w:tcPr>
          <w:p w14:paraId="57278606">
            <w:pPr>
              <w:pStyle w:val="74"/>
              <w:widowControl w:val="0"/>
              <w:pBdr>
                <w:bottom w:val="none" w:color="auto" w:sz="0" w:space="0"/>
              </w:pBdr>
              <w:shd w:val="clear"/>
              <w:spacing w:beforeAutospacing="0" w:afterAutospacing="0" w:line="360" w:lineRule="auto"/>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内容规定</w:t>
            </w:r>
          </w:p>
        </w:tc>
      </w:tr>
      <w:tr w14:paraId="1660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trPr>
        <w:tc>
          <w:tcPr>
            <w:tcW w:w="732" w:type="dxa"/>
            <w:vAlign w:val="center"/>
          </w:tcPr>
          <w:p w14:paraId="11E10C34">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w:t>
            </w:r>
          </w:p>
        </w:tc>
        <w:tc>
          <w:tcPr>
            <w:tcW w:w="8547" w:type="dxa"/>
            <w:vAlign w:val="center"/>
          </w:tcPr>
          <w:p w14:paraId="019DE6BC">
            <w:pPr>
              <w:shd w:val="clear"/>
              <w:adjustRightInd w:val="0"/>
              <w:snapToGrid w:val="0"/>
              <w:spacing w:line="460" w:lineRule="exact"/>
              <w:ind w:firstLine="240" w:firstLineChars="100"/>
              <w:rPr>
                <w:rFonts w:hint="eastAsia" w:ascii="宋体" w:cs="宋体"/>
                <w:bCs/>
                <w:color w:val="auto"/>
                <w:sz w:val="24"/>
                <w:highlight w:val="none"/>
                <w:lang w:eastAsia="zh-CN"/>
              </w:rPr>
            </w:pPr>
            <w:r>
              <w:rPr>
                <w:rFonts w:hint="eastAsia" w:ascii="宋体" w:cs="宋体"/>
                <w:bCs/>
                <w:color w:val="auto"/>
                <w:sz w:val="24"/>
                <w:highlight w:val="none"/>
                <w:lang w:eastAsia="zh-CN"/>
              </w:rPr>
              <w:t>项目名称：博爱县人民医院无纸化病案管理系统采购项目</w:t>
            </w:r>
          </w:p>
          <w:p w14:paraId="1C3616F2">
            <w:pPr>
              <w:shd w:val="clear"/>
              <w:adjustRightInd w:val="0"/>
              <w:snapToGrid w:val="0"/>
              <w:spacing w:line="460" w:lineRule="exact"/>
              <w:ind w:firstLine="240" w:firstLineChars="100"/>
              <w:rPr>
                <w:rFonts w:hint="eastAsia" w:ascii="宋体" w:cs="宋体"/>
                <w:bCs/>
                <w:color w:val="auto"/>
                <w:sz w:val="24"/>
                <w:highlight w:val="none"/>
                <w:lang w:eastAsia="zh-CN"/>
              </w:rPr>
            </w:pPr>
            <w:r>
              <w:rPr>
                <w:rFonts w:hint="eastAsia" w:ascii="宋体" w:cs="宋体"/>
                <w:bCs/>
                <w:color w:val="auto"/>
                <w:sz w:val="24"/>
                <w:highlight w:val="none"/>
                <w:lang w:eastAsia="zh-CN"/>
              </w:rPr>
              <w:t>采购内容：</w:t>
            </w:r>
            <w:r>
              <w:rPr>
                <w:rFonts w:hint="eastAsia" w:ascii="宋体" w:cs="宋体"/>
                <w:bCs/>
                <w:color w:val="auto"/>
                <w:sz w:val="24"/>
                <w:highlight w:val="none"/>
                <w:lang w:val="en-US" w:eastAsia="zh-CN"/>
              </w:rPr>
              <w:t>采购无纸化病案系统软件等（具体要求详见谈判文件）</w:t>
            </w:r>
            <w:r>
              <w:rPr>
                <w:rFonts w:hint="eastAsia" w:ascii="宋体" w:cs="宋体"/>
                <w:bCs/>
                <w:color w:val="auto"/>
                <w:sz w:val="24"/>
                <w:highlight w:val="none"/>
                <w:lang w:eastAsia="zh-CN"/>
              </w:rPr>
              <w:t xml:space="preserve">。 </w:t>
            </w:r>
          </w:p>
          <w:p w14:paraId="7A80A6A3">
            <w:pPr>
              <w:shd w:val="clear"/>
              <w:adjustRightInd w:val="0"/>
              <w:snapToGrid w:val="0"/>
              <w:spacing w:line="460" w:lineRule="exact"/>
              <w:ind w:firstLine="240" w:firstLineChars="100"/>
              <w:rPr>
                <w:rFonts w:hint="eastAsia" w:ascii="宋体" w:cs="宋体"/>
                <w:bCs/>
                <w:color w:val="auto"/>
                <w:sz w:val="24"/>
                <w:highlight w:val="none"/>
                <w:lang w:eastAsia="zh-CN"/>
              </w:rPr>
            </w:pPr>
            <w:r>
              <w:rPr>
                <w:rFonts w:hint="eastAsia" w:ascii="宋体" w:cs="宋体"/>
                <w:bCs/>
                <w:color w:val="auto"/>
                <w:sz w:val="24"/>
                <w:highlight w:val="none"/>
                <w:lang w:eastAsia="zh-CN"/>
              </w:rPr>
              <w:t>质量要求：合格，符合国家及行业规范标准。</w:t>
            </w:r>
          </w:p>
          <w:p w14:paraId="0D722C56">
            <w:pPr>
              <w:shd w:val="clear"/>
              <w:adjustRightInd w:val="0"/>
              <w:snapToGrid w:val="0"/>
              <w:spacing w:line="460" w:lineRule="exact"/>
              <w:ind w:firstLine="240" w:firstLineChars="100"/>
              <w:rPr>
                <w:rFonts w:hint="default" w:ascii="宋体" w:cs="宋体"/>
                <w:bCs/>
                <w:color w:val="auto"/>
                <w:sz w:val="24"/>
                <w:highlight w:val="none"/>
                <w:lang w:val="en-US" w:eastAsia="zh-CN"/>
              </w:rPr>
            </w:pPr>
            <w:r>
              <w:rPr>
                <w:rFonts w:hint="eastAsia" w:ascii="宋体" w:cs="宋体"/>
                <w:bCs/>
                <w:color w:val="auto"/>
                <w:sz w:val="24"/>
                <w:highlight w:val="none"/>
                <w:lang w:val="en-US" w:eastAsia="zh-CN"/>
              </w:rPr>
              <w:t>供货安装期：自合同签订之日起180日历天。</w:t>
            </w:r>
          </w:p>
          <w:p w14:paraId="62E7B161">
            <w:pPr>
              <w:shd w:val="clear"/>
              <w:adjustRightInd w:val="0"/>
              <w:snapToGrid w:val="0"/>
              <w:spacing w:line="460" w:lineRule="exact"/>
              <w:ind w:firstLine="240" w:firstLineChars="100"/>
              <w:rPr>
                <w:rFonts w:hint="eastAsia" w:ascii="宋体" w:cs="宋体"/>
                <w:bCs/>
                <w:color w:val="auto"/>
                <w:sz w:val="24"/>
                <w:highlight w:val="none"/>
                <w:lang w:eastAsia="zh-CN"/>
              </w:rPr>
            </w:pPr>
            <w:r>
              <w:rPr>
                <w:rFonts w:hint="eastAsia" w:ascii="宋体" w:cs="宋体"/>
                <w:bCs/>
                <w:color w:val="auto"/>
                <w:sz w:val="24"/>
                <w:highlight w:val="none"/>
                <w:lang w:eastAsia="zh-CN"/>
              </w:rPr>
              <w:t>合同履行期限：</w:t>
            </w:r>
            <w:r>
              <w:rPr>
                <w:rFonts w:hint="eastAsia" w:ascii="宋体" w:cs="宋体"/>
                <w:bCs/>
                <w:color w:val="auto"/>
                <w:sz w:val="24"/>
                <w:highlight w:val="none"/>
                <w:lang w:val="en-US" w:eastAsia="zh-CN"/>
              </w:rPr>
              <w:t>自合同签订之日起180日历天</w:t>
            </w:r>
            <w:r>
              <w:rPr>
                <w:rFonts w:hint="eastAsia" w:ascii="宋体" w:cs="宋体"/>
                <w:bCs/>
                <w:color w:val="auto"/>
                <w:sz w:val="24"/>
                <w:highlight w:val="none"/>
                <w:lang w:eastAsia="zh-CN"/>
              </w:rPr>
              <w:t>。</w:t>
            </w:r>
          </w:p>
          <w:p w14:paraId="07337397">
            <w:pPr>
              <w:shd w:val="clear"/>
              <w:adjustRightInd w:val="0"/>
              <w:snapToGrid w:val="0"/>
              <w:spacing w:line="460" w:lineRule="exact"/>
              <w:ind w:firstLine="240" w:firstLineChars="100"/>
              <w:rPr>
                <w:rFonts w:hint="default" w:ascii="宋体" w:cs="宋体"/>
                <w:bCs/>
                <w:color w:val="auto"/>
                <w:sz w:val="24"/>
                <w:highlight w:val="none"/>
                <w:lang w:val="en-US" w:eastAsia="zh-CN"/>
              </w:rPr>
            </w:pPr>
            <w:r>
              <w:rPr>
                <w:rFonts w:hint="eastAsia" w:ascii="宋体" w:cs="宋体"/>
                <w:bCs/>
                <w:color w:val="auto"/>
                <w:sz w:val="24"/>
                <w:highlight w:val="none"/>
                <w:lang w:eastAsia="zh-CN"/>
              </w:rPr>
              <w:t>质保期：</w:t>
            </w:r>
            <w:r>
              <w:rPr>
                <w:rFonts w:hint="eastAsia" w:ascii="宋体" w:cs="宋体"/>
                <w:bCs/>
                <w:color w:val="auto"/>
                <w:sz w:val="24"/>
                <w:highlight w:val="none"/>
                <w:lang w:val="en-US" w:eastAsia="zh-CN"/>
              </w:rPr>
              <w:t>3年。</w:t>
            </w:r>
          </w:p>
          <w:p w14:paraId="5BE6139D">
            <w:pPr>
              <w:shd w:val="clear"/>
              <w:adjustRightInd w:val="0"/>
              <w:snapToGrid w:val="0"/>
              <w:spacing w:line="460" w:lineRule="exact"/>
              <w:ind w:firstLine="240" w:firstLineChars="100"/>
              <w:rPr>
                <w:rFonts w:hint="eastAsia" w:ascii="宋体" w:cs="宋体"/>
                <w:bCs/>
                <w:color w:val="auto"/>
                <w:sz w:val="24"/>
                <w:highlight w:val="none"/>
                <w:lang w:eastAsia="zh-CN"/>
              </w:rPr>
            </w:pPr>
            <w:r>
              <w:rPr>
                <w:rFonts w:hint="eastAsia" w:ascii="宋体" w:cs="宋体"/>
                <w:bCs/>
                <w:color w:val="auto"/>
                <w:sz w:val="24"/>
                <w:highlight w:val="none"/>
                <w:lang w:eastAsia="zh-CN"/>
              </w:rPr>
              <w:t>采购方式：竞争性谈判。</w:t>
            </w:r>
          </w:p>
          <w:p w14:paraId="248B4AE0">
            <w:pPr>
              <w:shd w:val="clear"/>
              <w:adjustRightInd w:val="0"/>
              <w:snapToGrid w:val="0"/>
              <w:spacing w:line="460" w:lineRule="exact"/>
              <w:ind w:firstLine="240" w:firstLineChars="100"/>
              <w:rPr>
                <w:rFonts w:hint="eastAsia" w:ascii="宋体" w:cs="宋体"/>
                <w:bCs/>
                <w:color w:val="auto"/>
                <w:sz w:val="24"/>
                <w:highlight w:val="none"/>
                <w:lang w:eastAsia="zh-CN"/>
              </w:rPr>
            </w:pPr>
            <w:r>
              <w:rPr>
                <w:rFonts w:hint="eastAsia" w:ascii="宋体" w:cs="宋体"/>
                <w:bCs/>
                <w:color w:val="auto"/>
                <w:sz w:val="24"/>
                <w:highlight w:val="none"/>
                <w:lang w:eastAsia="zh-CN"/>
              </w:rPr>
              <w:t>资格审查方式：资格后审。</w:t>
            </w:r>
          </w:p>
          <w:p w14:paraId="0EC428E1">
            <w:pPr>
              <w:shd w:val="clear"/>
              <w:adjustRightInd w:val="0"/>
              <w:snapToGrid w:val="0"/>
              <w:spacing w:line="460" w:lineRule="exact"/>
              <w:ind w:firstLine="240" w:firstLineChars="100"/>
              <w:rPr>
                <w:rFonts w:hint="eastAsia" w:ascii="宋体" w:hAnsi="宋体" w:eastAsia="宋体" w:cs="宋体"/>
                <w:b/>
                <w:color w:val="auto"/>
                <w:sz w:val="24"/>
                <w:highlight w:val="none"/>
                <w:lang w:eastAsia="zh-CN"/>
              </w:rPr>
            </w:pPr>
            <w:r>
              <w:rPr>
                <w:rFonts w:hint="eastAsia" w:ascii="宋体" w:cs="宋体"/>
                <w:bCs/>
                <w:color w:val="auto"/>
                <w:sz w:val="24"/>
                <w:highlight w:val="none"/>
                <w:lang w:eastAsia="zh-CN"/>
              </w:rPr>
              <w:t>付款方式：</w:t>
            </w:r>
            <w:r>
              <w:rPr>
                <w:rFonts w:hint="eastAsia" w:ascii="宋体" w:cs="宋体"/>
                <w:color w:val="auto"/>
                <w:sz w:val="24"/>
                <w:highlight w:val="none"/>
                <w:lang w:val="en-US" w:eastAsia="zh-CN"/>
              </w:rPr>
              <w:t>按合同要求供货完毕并安装调试验收合格支付合同额的70%，剩余金额一年后无质量问题付清。</w:t>
            </w:r>
          </w:p>
        </w:tc>
      </w:tr>
      <w:tr w14:paraId="0550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2" w:type="dxa"/>
            <w:vAlign w:val="center"/>
          </w:tcPr>
          <w:p w14:paraId="1E992B17">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w:t>
            </w:r>
          </w:p>
        </w:tc>
        <w:tc>
          <w:tcPr>
            <w:tcW w:w="8547" w:type="dxa"/>
            <w:vAlign w:val="center"/>
          </w:tcPr>
          <w:p w14:paraId="7516C354">
            <w:pPr>
              <w:pStyle w:val="74"/>
              <w:widowControl w:val="0"/>
              <w:pBdr>
                <w:bottom w:val="none" w:color="auto" w:sz="0" w:space="0"/>
              </w:pBdr>
              <w:shd w:val="clear"/>
              <w:spacing w:beforeAutospacing="0" w:afterAutospacing="0" w:line="460" w:lineRule="exact"/>
              <w:ind w:firstLine="240" w:firstLineChars="100"/>
              <w:jc w:val="both"/>
              <w:textAlignment w:val="auto"/>
              <w:rPr>
                <w:rFonts w:hint="default" w:ascii="宋体" w:eastAsia="宋体" w:cs="宋体"/>
                <w:b w:val="0"/>
                <w:color w:val="auto"/>
                <w:sz w:val="24"/>
                <w:szCs w:val="24"/>
                <w:highlight w:val="none"/>
                <w:lang w:val="en-US" w:eastAsia="zh-CN"/>
              </w:rPr>
            </w:pPr>
            <w:r>
              <w:rPr>
                <w:rFonts w:hint="eastAsia" w:ascii="宋体" w:eastAsia="宋体" w:cs="宋体"/>
                <w:b w:val="0"/>
                <w:color w:val="auto"/>
                <w:sz w:val="24"/>
                <w:szCs w:val="24"/>
                <w:highlight w:val="none"/>
              </w:rPr>
              <w:t>资金来源：</w:t>
            </w:r>
            <w:r>
              <w:rPr>
                <w:rFonts w:hint="eastAsia" w:ascii="宋体" w:eastAsia="宋体" w:cs="宋体"/>
                <w:b w:val="0"/>
                <w:color w:val="auto"/>
                <w:sz w:val="24"/>
                <w:szCs w:val="24"/>
                <w:highlight w:val="none"/>
                <w:lang w:val="en-US" w:eastAsia="zh-CN"/>
              </w:rPr>
              <w:t>自筹资金</w:t>
            </w:r>
          </w:p>
        </w:tc>
      </w:tr>
      <w:tr w14:paraId="3D37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732" w:type="dxa"/>
            <w:vAlign w:val="center"/>
          </w:tcPr>
          <w:p w14:paraId="7A711372">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w:t>
            </w:r>
          </w:p>
        </w:tc>
        <w:tc>
          <w:tcPr>
            <w:tcW w:w="8547" w:type="dxa"/>
            <w:vAlign w:val="center"/>
          </w:tcPr>
          <w:p w14:paraId="5F03F772">
            <w:pPr>
              <w:shd w:val="clear"/>
              <w:adjustRightInd w:val="0"/>
              <w:snapToGrid w:val="0"/>
              <w:spacing w:line="460" w:lineRule="exact"/>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t>获取采购文件时间：202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u w:val="single"/>
                <w:lang w:val="en-US" w:eastAsia="zh-CN"/>
              </w:rPr>
              <w:t xml:space="preserve"> 2</w:t>
            </w:r>
            <w:r>
              <w:rPr>
                <w:rFonts w:hint="eastAsia" w:ascii="宋体" w:hAnsi="宋体" w:cs="宋体"/>
                <w:b/>
                <w:bCs/>
                <w:color w:val="auto"/>
                <w:sz w:val="24"/>
                <w:highlight w:val="none"/>
              </w:rPr>
              <w:t>月</w:t>
            </w:r>
            <w:r>
              <w:rPr>
                <w:rFonts w:hint="eastAsia" w:ascii="宋体" w:hAnsi="宋体" w:cs="宋体"/>
                <w:b/>
                <w:bCs/>
                <w:color w:val="auto"/>
                <w:sz w:val="24"/>
                <w:highlight w:val="none"/>
                <w:u w:val="single"/>
                <w:lang w:val="en-US" w:eastAsia="zh-CN"/>
              </w:rPr>
              <w:t xml:space="preserve">27 </w:t>
            </w:r>
            <w:r>
              <w:rPr>
                <w:rFonts w:hint="eastAsia" w:ascii="宋体" w:hAnsi="宋体" w:cs="宋体"/>
                <w:b/>
                <w:bCs/>
                <w:color w:val="auto"/>
                <w:sz w:val="24"/>
                <w:highlight w:val="none"/>
              </w:rPr>
              <w:t>日至202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rPr>
              <w:t>月</w:t>
            </w:r>
            <w:r>
              <w:rPr>
                <w:rFonts w:hint="eastAsia" w:ascii="宋体" w:hAnsi="宋体" w:cs="宋体"/>
                <w:b/>
                <w:bCs/>
                <w:color w:val="auto"/>
                <w:sz w:val="24"/>
                <w:highlight w:val="none"/>
                <w:u w:val="single"/>
                <w:lang w:val="en-US" w:eastAsia="zh-CN"/>
              </w:rPr>
              <w:t xml:space="preserve"> 2 </w:t>
            </w:r>
            <w:r>
              <w:rPr>
                <w:rFonts w:hint="eastAsia" w:ascii="宋体" w:hAnsi="宋体" w:cs="宋体"/>
                <w:b/>
                <w:bCs/>
                <w:color w:val="auto"/>
                <w:sz w:val="24"/>
                <w:highlight w:val="none"/>
              </w:rPr>
              <w:t>日（北京时间）；</w:t>
            </w:r>
            <w:r>
              <w:rPr>
                <w:rFonts w:hint="eastAsia" w:ascii="宋体" w:hAnsi="宋体" w:cs="宋体"/>
                <w:color w:val="auto"/>
                <w:sz w:val="24"/>
                <w:highlight w:val="none"/>
              </w:rPr>
              <w:t> </w:t>
            </w:r>
          </w:p>
          <w:p w14:paraId="3638B425">
            <w:pPr>
              <w:shd w:val="clear"/>
              <w:adjustRightInd w:val="0"/>
              <w:snapToGrid w:val="0"/>
              <w:spacing w:line="46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地点：焦作市公共资源交易中心网站会员系统  </w:t>
            </w:r>
          </w:p>
          <w:p w14:paraId="3863C037">
            <w:pPr>
              <w:shd w:val="clear"/>
              <w:adjustRightInd w:val="0"/>
              <w:snapToGrid w:val="0"/>
              <w:spacing w:line="46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方式：凡有意参加投标者，请登录焦作市公共资源交易中心官网站进行网上下载谈判文件。</w:t>
            </w:r>
            <w:r>
              <w:rPr>
                <w:rFonts w:hint="eastAsia" w:ascii="宋体" w:hAnsi="宋体" w:cs="宋体"/>
                <w:b/>
                <w:bCs/>
                <w:color w:val="auto"/>
                <w:kern w:val="0"/>
                <w:sz w:val="24"/>
                <w:highlight w:val="none"/>
              </w:rPr>
              <w:t>未通过会员系统完成下载文件，响应性文件</w:t>
            </w:r>
            <w:r>
              <w:rPr>
                <w:rFonts w:hint="eastAsia" w:ascii="宋体" w:hAnsi="宋体" w:cs="宋体"/>
                <w:b/>
                <w:bCs/>
                <w:color w:val="auto"/>
                <w:sz w:val="24"/>
                <w:highlight w:val="none"/>
              </w:rPr>
              <w:t>视为无效</w:t>
            </w:r>
            <w:r>
              <w:rPr>
                <w:rFonts w:hint="eastAsia" w:ascii="宋体" w:hAnsi="宋体" w:cs="宋体"/>
                <w:color w:val="auto"/>
                <w:sz w:val="24"/>
                <w:highlight w:val="none"/>
              </w:rPr>
              <w:t>（联系电话：0391-3568920，QQ：232850725、361532918（群））。</w:t>
            </w:r>
          </w:p>
          <w:p w14:paraId="65D1D079">
            <w:pPr>
              <w:shd w:val="clear"/>
              <w:adjustRightInd w:val="0"/>
              <w:snapToGrid w:val="0"/>
              <w:spacing w:line="460" w:lineRule="exact"/>
              <w:ind w:firstLine="240" w:firstLineChars="100"/>
              <w:rPr>
                <w:rFonts w:hint="eastAsia" w:ascii="宋体" w:hAnsi="宋体" w:cs="宋体"/>
                <w:color w:val="auto"/>
                <w:kern w:val="0"/>
                <w:sz w:val="24"/>
                <w:highlight w:val="none"/>
              </w:rPr>
            </w:pPr>
            <w:r>
              <w:rPr>
                <w:rFonts w:hint="eastAsia" w:ascii="宋体" w:hAnsi="宋体" w:cs="宋体"/>
                <w:color w:val="auto"/>
                <w:sz w:val="24"/>
                <w:highlight w:val="none"/>
              </w:rPr>
              <w:t>采购文件售价：0元。</w:t>
            </w:r>
          </w:p>
        </w:tc>
      </w:tr>
      <w:tr w14:paraId="44C0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32" w:type="dxa"/>
            <w:vAlign w:val="center"/>
          </w:tcPr>
          <w:p w14:paraId="1CA68179">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4</w:t>
            </w:r>
          </w:p>
        </w:tc>
        <w:tc>
          <w:tcPr>
            <w:tcW w:w="8547" w:type="dxa"/>
            <w:vAlign w:val="center"/>
          </w:tcPr>
          <w:p w14:paraId="3AC1CED5">
            <w:pPr>
              <w:pStyle w:val="74"/>
              <w:widowControl w:val="0"/>
              <w:pBdr>
                <w:bottom w:val="none" w:color="auto" w:sz="0" w:space="0"/>
              </w:pBdr>
              <w:shd w:val="clear"/>
              <w:spacing w:beforeAutospacing="0" w:afterAutospacing="0" w:line="460" w:lineRule="exact"/>
              <w:ind w:firstLine="240" w:firstLineChars="100"/>
              <w:jc w:val="both"/>
              <w:textAlignment w:val="auto"/>
              <w:rPr>
                <w:rFonts w:hint="eastAsia" w:ascii="宋体" w:eastAsia="宋体" w:cs="宋体"/>
                <w:b w:val="0"/>
                <w:bCs/>
                <w:color w:val="auto"/>
                <w:sz w:val="24"/>
                <w:szCs w:val="24"/>
                <w:highlight w:val="none"/>
                <w:u w:val="single"/>
              </w:rPr>
            </w:pPr>
            <w:r>
              <w:rPr>
                <w:rFonts w:hint="eastAsia" w:ascii="宋体" w:eastAsia="宋体" w:cs="宋体"/>
                <w:b w:val="0"/>
                <w:bCs/>
                <w:color w:val="auto"/>
                <w:sz w:val="24"/>
                <w:szCs w:val="24"/>
                <w:highlight w:val="none"/>
              </w:rPr>
              <w:t>响应文件份数：加密的电子响应文件壹份（.jztf 格式在会员系统指定位置上传）。</w:t>
            </w:r>
          </w:p>
          <w:p w14:paraId="38288CFB">
            <w:pPr>
              <w:pStyle w:val="74"/>
              <w:widowControl w:val="0"/>
              <w:pBdr>
                <w:bottom w:val="none" w:color="auto" w:sz="0" w:space="0"/>
              </w:pBdr>
              <w:shd w:val="clear"/>
              <w:spacing w:beforeAutospacing="0" w:afterAutospacing="0" w:line="460" w:lineRule="exact"/>
              <w:ind w:firstLine="240" w:firstLineChars="100"/>
              <w:jc w:val="both"/>
              <w:textAlignment w:val="auto"/>
              <w:rPr>
                <w:rFonts w:hint="eastAsia" w:ascii="宋体" w:eastAsia="宋体" w:cs="宋体"/>
                <w:b w:val="0"/>
                <w:bCs/>
                <w:color w:val="auto"/>
                <w:sz w:val="24"/>
                <w:szCs w:val="24"/>
                <w:highlight w:val="none"/>
              </w:rPr>
            </w:pPr>
            <w:r>
              <w:rPr>
                <w:rFonts w:hint="eastAsia" w:ascii="宋体" w:eastAsia="宋体" w:cs="宋体"/>
                <w:b w:val="0"/>
                <w:bCs/>
                <w:color w:val="auto"/>
                <w:sz w:val="24"/>
                <w:szCs w:val="24"/>
                <w:highlight w:val="none"/>
              </w:rPr>
              <w:t>投标保证金：无。</w:t>
            </w:r>
          </w:p>
          <w:p w14:paraId="06B55D97">
            <w:pPr>
              <w:pStyle w:val="74"/>
              <w:widowControl w:val="0"/>
              <w:pBdr>
                <w:bottom w:val="none" w:color="auto" w:sz="0" w:space="0"/>
              </w:pBdr>
              <w:shd w:val="clear"/>
              <w:spacing w:beforeAutospacing="0" w:afterAutospacing="0" w:line="460" w:lineRule="exact"/>
              <w:ind w:firstLine="240" w:firstLineChars="100"/>
              <w:jc w:val="both"/>
              <w:textAlignment w:val="auto"/>
              <w:rPr>
                <w:rFonts w:hint="eastAsia" w:ascii="宋体" w:eastAsia="宋体" w:cs="宋体"/>
                <w:b w:val="0"/>
                <w:bCs/>
                <w:color w:val="auto"/>
                <w:sz w:val="24"/>
                <w:szCs w:val="24"/>
                <w:highlight w:val="none"/>
              </w:rPr>
            </w:pPr>
            <w:r>
              <w:rPr>
                <w:rFonts w:hint="eastAsia" w:ascii="宋体" w:eastAsia="宋体" w:cs="宋体"/>
                <w:b w:val="0"/>
                <w:bCs/>
                <w:color w:val="auto"/>
                <w:sz w:val="24"/>
                <w:szCs w:val="24"/>
                <w:highlight w:val="none"/>
              </w:rPr>
              <w:t>履约保证金：无。</w:t>
            </w:r>
          </w:p>
          <w:p w14:paraId="76D42C9D">
            <w:pPr>
              <w:pStyle w:val="74"/>
              <w:widowControl w:val="0"/>
              <w:pBdr>
                <w:bottom w:val="none" w:color="auto" w:sz="0" w:space="0"/>
              </w:pBdr>
              <w:shd w:val="clear"/>
              <w:spacing w:beforeAutospacing="0" w:afterAutospacing="0" w:line="460" w:lineRule="exact"/>
              <w:ind w:firstLine="240" w:firstLineChars="100"/>
              <w:jc w:val="both"/>
              <w:textAlignment w:val="auto"/>
              <w:rPr>
                <w:rFonts w:hint="eastAsia" w:ascii="宋体" w:eastAsia="宋体" w:cs="宋体"/>
                <w:b w:val="0"/>
                <w:bCs/>
                <w:color w:val="auto"/>
                <w:sz w:val="24"/>
                <w:szCs w:val="24"/>
                <w:highlight w:val="none"/>
              </w:rPr>
            </w:pPr>
            <w:r>
              <w:rPr>
                <w:rFonts w:hint="eastAsia" w:ascii="宋体" w:eastAsia="宋体" w:cs="宋体"/>
                <w:b w:val="0"/>
                <w:bCs/>
                <w:color w:val="auto"/>
                <w:sz w:val="24"/>
                <w:szCs w:val="24"/>
                <w:highlight w:val="none"/>
              </w:rPr>
              <w:t>质</w:t>
            </w:r>
            <w:r>
              <w:rPr>
                <w:rFonts w:hint="eastAsia" w:ascii="宋体" w:eastAsia="宋体" w:cs="宋体"/>
                <w:b w:val="0"/>
                <w:bCs/>
                <w:color w:val="auto"/>
                <w:sz w:val="24"/>
                <w:szCs w:val="24"/>
                <w:highlight w:val="none"/>
                <w:lang w:val="en-US" w:eastAsia="zh-CN"/>
              </w:rPr>
              <w:t>量</w:t>
            </w:r>
            <w:r>
              <w:rPr>
                <w:rFonts w:hint="eastAsia" w:ascii="宋体" w:eastAsia="宋体" w:cs="宋体"/>
                <w:b w:val="0"/>
                <w:bCs/>
                <w:color w:val="auto"/>
                <w:sz w:val="24"/>
                <w:szCs w:val="24"/>
                <w:highlight w:val="none"/>
              </w:rPr>
              <w:t>保</w:t>
            </w:r>
            <w:r>
              <w:rPr>
                <w:rFonts w:hint="eastAsia" w:ascii="宋体" w:eastAsia="宋体" w:cs="宋体"/>
                <w:b w:val="0"/>
                <w:bCs/>
                <w:color w:val="auto"/>
                <w:sz w:val="24"/>
                <w:szCs w:val="24"/>
                <w:highlight w:val="none"/>
                <w:lang w:val="en-US" w:eastAsia="zh-CN"/>
              </w:rPr>
              <w:t>证</w:t>
            </w:r>
            <w:r>
              <w:rPr>
                <w:rFonts w:hint="eastAsia" w:ascii="宋体" w:eastAsia="宋体" w:cs="宋体"/>
                <w:b w:val="0"/>
                <w:bCs/>
                <w:color w:val="auto"/>
                <w:sz w:val="24"/>
                <w:szCs w:val="24"/>
                <w:highlight w:val="none"/>
              </w:rPr>
              <w:t>金：无。</w:t>
            </w:r>
          </w:p>
        </w:tc>
      </w:tr>
      <w:tr w14:paraId="6221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278EB776">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bCs/>
                <w:color w:val="auto"/>
                <w:sz w:val="24"/>
                <w:szCs w:val="24"/>
                <w:highlight w:val="none"/>
              </w:rPr>
            </w:pPr>
            <w:r>
              <w:rPr>
                <w:rFonts w:hint="eastAsia" w:ascii="宋体" w:eastAsia="宋体" w:cs="宋体"/>
                <w:b w:val="0"/>
                <w:bCs/>
                <w:color w:val="auto"/>
                <w:sz w:val="24"/>
                <w:szCs w:val="24"/>
                <w:highlight w:val="none"/>
              </w:rPr>
              <w:t>5</w:t>
            </w:r>
          </w:p>
        </w:tc>
        <w:tc>
          <w:tcPr>
            <w:tcW w:w="8547" w:type="dxa"/>
            <w:vAlign w:val="center"/>
          </w:tcPr>
          <w:p w14:paraId="2920DF5E">
            <w:pPr>
              <w:pStyle w:val="74"/>
              <w:widowControl w:val="0"/>
              <w:pBdr>
                <w:bottom w:val="none" w:color="auto" w:sz="0" w:space="0"/>
              </w:pBdr>
              <w:shd w:val="clear"/>
              <w:spacing w:beforeAutospacing="0" w:afterAutospacing="0" w:line="460" w:lineRule="exact"/>
              <w:ind w:firstLine="240" w:firstLineChars="100"/>
              <w:jc w:val="both"/>
              <w:textAlignment w:val="auto"/>
              <w:rPr>
                <w:rFonts w:hint="eastAsia" w:ascii="宋体" w:eastAsia="宋体" w:cs="宋体"/>
                <w:b w:val="0"/>
                <w:color w:val="auto"/>
                <w:sz w:val="24"/>
                <w:szCs w:val="24"/>
                <w:highlight w:val="none"/>
              </w:rPr>
            </w:pPr>
            <w:r>
              <w:rPr>
                <w:rFonts w:hint="eastAsia" w:ascii="宋体" w:eastAsia="宋体" w:cs="宋体"/>
                <w:b w:val="0"/>
                <w:color w:val="auto"/>
                <w:sz w:val="24"/>
                <w:szCs w:val="24"/>
                <w:highlight w:val="none"/>
              </w:rPr>
              <w:t>响应文件递交截止时间：</w:t>
            </w:r>
            <w:r>
              <w:rPr>
                <w:rFonts w:hint="eastAsia" w:ascii="宋体" w:eastAsia="宋体" w:cs="宋体"/>
                <w:bCs/>
                <w:color w:val="auto"/>
                <w:sz w:val="24"/>
                <w:szCs w:val="24"/>
                <w:highlight w:val="none"/>
              </w:rPr>
              <w:t>202</w:t>
            </w:r>
            <w:r>
              <w:rPr>
                <w:rFonts w:hint="eastAsia" w:ascii="宋体" w:eastAsia="宋体" w:cs="宋体"/>
                <w:bCs/>
                <w:color w:val="auto"/>
                <w:sz w:val="24"/>
                <w:szCs w:val="24"/>
                <w:highlight w:val="none"/>
                <w:lang w:val="en-US" w:eastAsia="zh-CN"/>
              </w:rPr>
              <w:t>6</w:t>
            </w:r>
            <w:r>
              <w:rPr>
                <w:rFonts w:hint="eastAsia" w:ascii="宋体" w:eastAsia="宋体" w:cs="宋体"/>
                <w:bCs/>
                <w:color w:val="auto"/>
                <w:sz w:val="24"/>
                <w:szCs w:val="24"/>
                <w:highlight w:val="none"/>
              </w:rPr>
              <w:t>年</w:t>
            </w:r>
            <w:r>
              <w:rPr>
                <w:rFonts w:hint="eastAsia" w:ascii="宋体" w:eastAsia="宋体" w:cs="宋体"/>
                <w:bCs/>
                <w:color w:val="auto"/>
                <w:sz w:val="24"/>
                <w:szCs w:val="24"/>
                <w:highlight w:val="none"/>
                <w:u w:val="single"/>
                <w:lang w:val="en-US" w:eastAsia="zh-CN"/>
              </w:rPr>
              <w:t xml:space="preserve"> 3 </w:t>
            </w:r>
            <w:r>
              <w:rPr>
                <w:rFonts w:hint="eastAsia" w:ascii="宋体" w:eastAsia="宋体" w:cs="宋体"/>
                <w:bCs/>
                <w:color w:val="auto"/>
                <w:sz w:val="24"/>
                <w:szCs w:val="24"/>
                <w:highlight w:val="none"/>
              </w:rPr>
              <w:t>月</w:t>
            </w:r>
            <w:r>
              <w:rPr>
                <w:rFonts w:hint="eastAsia" w:ascii="宋体" w:eastAsia="宋体" w:cs="宋体"/>
                <w:bCs/>
                <w:color w:val="auto"/>
                <w:sz w:val="24"/>
                <w:szCs w:val="24"/>
                <w:highlight w:val="none"/>
                <w:u w:val="single"/>
                <w:lang w:val="en-US" w:eastAsia="zh-CN"/>
              </w:rPr>
              <w:t xml:space="preserve"> 4 </w:t>
            </w:r>
            <w:r>
              <w:rPr>
                <w:rFonts w:hint="eastAsia" w:ascii="宋体" w:eastAsia="宋体" w:cs="宋体"/>
                <w:bCs/>
                <w:color w:val="auto"/>
                <w:sz w:val="24"/>
                <w:szCs w:val="24"/>
                <w:highlight w:val="none"/>
              </w:rPr>
              <w:t>日</w:t>
            </w:r>
            <w:r>
              <w:rPr>
                <w:rFonts w:hint="eastAsia" w:ascii="宋体" w:eastAsia="宋体" w:cs="宋体"/>
                <w:bCs/>
                <w:color w:val="auto"/>
                <w:sz w:val="24"/>
                <w:szCs w:val="24"/>
                <w:highlight w:val="none"/>
                <w:u w:val="single"/>
                <w:lang w:val="en-US" w:eastAsia="zh-CN"/>
              </w:rPr>
              <w:t xml:space="preserve"> 09 </w:t>
            </w:r>
            <w:r>
              <w:rPr>
                <w:rFonts w:hint="eastAsia" w:ascii="宋体" w:eastAsia="宋体" w:cs="宋体"/>
                <w:bCs/>
                <w:color w:val="auto"/>
                <w:sz w:val="24"/>
                <w:szCs w:val="24"/>
                <w:highlight w:val="none"/>
              </w:rPr>
              <w:t>时</w:t>
            </w:r>
            <w:r>
              <w:rPr>
                <w:rFonts w:hint="eastAsia" w:ascii="宋体" w:eastAsia="宋体" w:cs="宋体"/>
                <w:bCs/>
                <w:color w:val="auto"/>
                <w:sz w:val="24"/>
                <w:szCs w:val="24"/>
                <w:highlight w:val="none"/>
                <w:u w:val="single"/>
                <w:lang w:val="en-US" w:eastAsia="zh-CN"/>
              </w:rPr>
              <w:t xml:space="preserve">00 </w:t>
            </w:r>
            <w:r>
              <w:rPr>
                <w:rFonts w:hint="eastAsia" w:ascii="宋体" w:eastAsia="宋体" w:cs="宋体"/>
                <w:bCs/>
                <w:color w:val="auto"/>
                <w:sz w:val="24"/>
                <w:szCs w:val="24"/>
                <w:highlight w:val="none"/>
              </w:rPr>
              <w:t>分（北京时间）；</w:t>
            </w:r>
            <w:r>
              <w:rPr>
                <w:rFonts w:hint="eastAsia" w:ascii="宋体" w:eastAsia="宋体" w:cs="宋体"/>
                <w:color w:val="auto"/>
                <w:sz w:val="24"/>
                <w:highlight w:val="none"/>
              </w:rPr>
              <w:t> </w:t>
            </w:r>
          </w:p>
          <w:p w14:paraId="6D25E725">
            <w:pPr>
              <w:pStyle w:val="74"/>
              <w:widowControl w:val="0"/>
              <w:pBdr>
                <w:bottom w:val="none" w:color="auto" w:sz="0" w:space="0"/>
              </w:pBdr>
              <w:shd w:val="clear"/>
              <w:spacing w:beforeAutospacing="0" w:afterAutospacing="0" w:line="460" w:lineRule="exact"/>
              <w:ind w:firstLine="240" w:firstLineChars="100"/>
              <w:jc w:val="both"/>
              <w:textAlignment w:val="auto"/>
              <w:rPr>
                <w:rFonts w:hint="eastAsia" w:ascii="宋体" w:eastAsia="宋体" w:cs="宋体"/>
                <w:b w:val="0"/>
                <w:bCs/>
                <w:color w:val="auto"/>
                <w:sz w:val="24"/>
                <w:szCs w:val="24"/>
                <w:highlight w:val="none"/>
              </w:rPr>
            </w:pPr>
            <w:r>
              <w:rPr>
                <w:rFonts w:hint="eastAsia" w:ascii="宋体" w:eastAsia="宋体" w:cs="宋体"/>
                <w:b w:val="0"/>
                <w:color w:val="auto"/>
                <w:sz w:val="24"/>
                <w:szCs w:val="24"/>
                <w:highlight w:val="none"/>
              </w:rPr>
              <w:t>响应文件递交地点：加密电子投标文件须在投标截止时间前通过“焦作市公共资源交易中心（http://ggzy.jiaozuo.gov.cn/） ”网站-交易平台加密上传。</w:t>
            </w:r>
          </w:p>
        </w:tc>
      </w:tr>
      <w:tr w14:paraId="7FE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32" w:type="dxa"/>
            <w:vAlign w:val="center"/>
          </w:tcPr>
          <w:p w14:paraId="3952C3CB">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w:t>
            </w:r>
          </w:p>
        </w:tc>
        <w:tc>
          <w:tcPr>
            <w:tcW w:w="8547" w:type="dxa"/>
            <w:vAlign w:val="center"/>
          </w:tcPr>
          <w:p w14:paraId="372E2281">
            <w:pPr>
              <w:widowControl/>
              <w:shd w:val="clear"/>
              <w:spacing w:line="46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采购事项答疑: 本项目不再统一召开答疑会，供应商如有疑问，请在响应文件递交截止时间1个工作日前与采购人或采购代理机构以书面形式提出。</w:t>
            </w:r>
          </w:p>
        </w:tc>
      </w:tr>
      <w:tr w14:paraId="2B90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32" w:type="dxa"/>
            <w:vAlign w:val="center"/>
          </w:tcPr>
          <w:p w14:paraId="7DC86A02">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w:t>
            </w:r>
          </w:p>
        </w:tc>
        <w:tc>
          <w:tcPr>
            <w:tcW w:w="8547" w:type="dxa"/>
            <w:vAlign w:val="center"/>
          </w:tcPr>
          <w:p w14:paraId="0C97BA8D">
            <w:pPr>
              <w:shd w:val="clear"/>
              <w:autoSpaceDE w:val="0"/>
              <w:autoSpaceDN w:val="0"/>
              <w:adjustRightInd w:val="0"/>
              <w:spacing w:line="460" w:lineRule="exact"/>
              <w:ind w:firstLine="240" w:firstLineChars="100"/>
              <w:rPr>
                <w:rFonts w:hint="eastAsia" w:ascii="宋体" w:hAnsi="宋体" w:cs="宋体"/>
                <w:bCs/>
                <w:color w:val="auto"/>
                <w:kern w:val="0"/>
                <w:sz w:val="24"/>
                <w:highlight w:val="none"/>
              </w:rPr>
            </w:pPr>
            <w:r>
              <w:rPr>
                <w:rFonts w:hint="eastAsia" w:ascii="宋体" w:hAnsi="宋体" w:cs="宋体"/>
                <w:bCs/>
                <w:color w:val="auto"/>
                <w:kern w:val="0"/>
                <w:sz w:val="24"/>
                <w:highlight w:val="none"/>
              </w:rPr>
              <w:t>开标时间：同</w:t>
            </w:r>
            <w:r>
              <w:rPr>
                <w:rFonts w:hint="eastAsia" w:ascii="宋体" w:hAnsi="宋体" w:cs="宋体"/>
                <w:color w:val="auto"/>
                <w:sz w:val="24"/>
                <w:highlight w:val="none"/>
              </w:rPr>
              <w:t>响应文件递交截止时间</w:t>
            </w:r>
            <w:r>
              <w:rPr>
                <w:rFonts w:hint="eastAsia" w:ascii="宋体" w:hAnsi="宋体" w:cs="宋体"/>
                <w:bCs/>
                <w:color w:val="auto"/>
                <w:kern w:val="0"/>
                <w:sz w:val="24"/>
                <w:highlight w:val="none"/>
              </w:rPr>
              <w:t>。供应商应当登录远程开标大厅，凭制作响应性文件所用的企业 CA 密匙在线签到、解密文件等，解密时间为投标截止时后30分钟内。</w:t>
            </w:r>
          </w:p>
          <w:p w14:paraId="33DC7563">
            <w:pPr>
              <w:shd w:val="clear"/>
              <w:autoSpaceDE w:val="0"/>
              <w:autoSpaceDN w:val="0"/>
              <w:adjustRightInd w:val="0"/>
              <w:spacing w:line="460" w:lineRule="exact"/>
              <w:ind w:firstLine="241" w:firstLineChars="100"/>
              <w:rPr>
                <w:rFonts w:hint="eastAsia" w:ascii="宋体" w:hAnsi="宋体" w:cs="宋体"/>
                <w:b/>
                <w:color w:val="auto"/>
                <w:sz w:val="24"/>
                <w:highlight w:val="none"/>
              </w:rPr>
            </w:pPr>
            <w:r>
              <w:rPr>
                <w:rFonts w:hint="eastAsia" w:ascii="宋体" w:hAnsi="宋体" w:cs="宋体"/>
                <w:b/>
                <w:color w:val="auto"/>
                <w:kern w:val="0"/>
                <w:sz w:val="24"/>
                <w:highlight w:val="none"/>
              </w:rPr>
              <w:t>不见面开标地点：博爱县公共资源交易中心第</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u w:val="single"/>
                <w:lang w:val="en-US" w:eastAsia="zh-CN"/>
              </w:rPr>
              <w:t>二</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 xml:space="preserve">开标室 </w:t>
            </w:r>
          </w:p>
        </w:tc>
      </w:tr>
      <w:tr w14:paraId="0B36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3" w:hRule="atLeast"/>
        </w:trPr>
        <w:tc>
          <w:tcPr>
            <w:tcW w:w="732" w:type="dxa"/>
            <w:vAlign w:val="center"/>
          </w:tcPr>
          <w:p w14:paraId="522968FC">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w:t>
            </w:r>
          </w:p>
        </w:tc>
        <w:tc>
          <w:tcPr>
            <w:tcW w:w="8547" w:type="dxa"/>
            <w:vAlign w:val="center"/>
          </w:tcPr>
          <w:p w14:paraId="19AD7CD7">
            <w:pPr>
              <w:widowControl/>
              <w:shd w:val="clear"/>
              <w:spacing w:line="460" w:lineRule="exact"/>
              <w:ind w:firstLine="240" w:firstLineChars="1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递交响应性文件方式：</w:t>
            </w:r>
          </w:p>
          <w:p w14:paraId="2F9B1029">
            <w:pPr>
              <w:widowControl/>
              <w:shd w:val="clear"/>
              <w:spacing w:line="460" w:lineRule="exact"/>
              <w:ind w:firstLine="240" w:firstLineChars="1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本项目采用“远程不见面”开标方式，远程开标大厅网址为</w:t>
            </w:r>
            <w:r>
              <w:rPr>
                <w:rFonts w:hint="eastAsia" w:ascii="宋体" w:hAnsi="宋体" w:cs="宋体"/>
                <w:bCs/>
                <w:color w:val="auto"/>
                <w:kern w:val="0"/>
                <w:sz w:val="24"/>
                <w:highlight w:val="none"/>
                <w:lang w:eastAsia="zh-CN"/>
              </w:rPr>
              <w:t>https://ggzy.jiaozuo.gov.cn/BidOpeningHall/bidhall/dqhnjz/login.html</w:t>
            </w:r>
            <w:r>
              <w:rPr>
                <w:rFonts w:hint="eastAsia" w:ascii="宋体" w:hAnsi="宋体" w:cs="宋体"/>
                <w:bCs/>
                <w:color w:val="auto"/>
                <w:kern w:val="0"/>
                <w:sz w:val="24"/>
                <w:highlight w:val="none"/>
              </w:rPr>
              <w:t xml:space="preserve">。供应商不需到开标现场参加开标会议，不需提交原件资料等。 </w:t>
            </w:r>
          </w:p>
          <w:p w14:paraId="6AC7B661">
            <w:pPr>
              <w:widowControl/>
              <w:shd w:val="clear"/>
              <w:spacing w:line="460" w:lineRule="exact"/>
              <w:ind w:firstLine="240" w:firstLineChars="1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1.电子响应性文件的递交</w:t>
            </w:r>
          </w:p>
          <w:p w14:paraId="0AAC9E01">
            <w:pPr>
              <w:widowControl/>
              <w:shd w:val="clear"/>
              <w:spacing w:line="460" w:lineRule="exact"/>
              <w:ind w:firstLine="240" w:firstLineChars="1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1.1 各供应商应在投标截止时间前上传加密的电子响应性文件</w:t>
            </w:r>
          </w:p>
          <w:p w14:paraId="1B363C18">
            <w:pPr>
              <w:widowControl/>
              <w:shd w:val="clear"/>
              <w:spacing w:line="460" w:lineRule="exact"/>
              <w:ind w:firstLine="240" w:firstLineChars="1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rPr>
              <w:t>（.jztf 格式）到会员系统的指定位置。上传时必须得到电脑“上传成功”的确认回复。请供应商在上传时认真检查上传响应性文件是否完整、正确。</w:t>
            </w:r>
          </w:p>
          <w:p w14:paraId="0AAC333F">
            <w:pPr>
              <w:widowControl/>
              <w:shd w:val="clear"/>
              <w:spacing w:line="460" w:lineRule="exact"/>
              <w:ind w:firstLine="240" w:firstLineChars="100"/>
              <w:jc w:val="left"/>
              <w:rPr>
                <w:rFonts w:hint="eastAsia" w:ascii="宋体" w:hAnsi="宋体" w:cs="宋体"/>
                <w:color w:val="auto"/>
                <w:kern w:val="0"/>
                <w:sz w:val="24"/>
                <w:szCs w:val="21"/>
                <w:highlight w:val="none"/>
              </w:rPr>
            </w:pPr>
            <w:r>
              <w:rPr>
                <w:rFonts w:hint="eastAsia" w:ascii="宋体" w:hAnsi="宋体" w:cs="宋体"/>
                <w:bCs/>
                <w:color w:val="auto"/>
                <w:kern w:val="0"/>
                <w:sz w:val="24"/>
                <w:highlight w:val="none"/>
              </w:rPr>
              <w:t>1.2 如系统故障需上传非加密文件时，供应商应按照采购人指示将非加密文件递交给采购人。</w:t>
            </w:r>
          </w:p>
        </w:tc>
      </w:tr>
      <w:tr w14:paraId="5CA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trPr>
        <w:tc>
          <w:tcPr>
            <w:tcW w:w="732" w:type="dxa"/>
            <w:vAlign w:val="center"/>
          </w:tcPr>
          <w:p w14:paraId="4D69C8A9">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w:t>
            </w:r>
          </w:p>
        </w:tc>
        <w:tc>
          <w:tcPr>
            <w:tcW w:w="8547" w:type="dxa"/>
            <w:vAlign w:val="center"/>
          </w:tcPr>
          <w:p w14:paraId="3265DBEF">
            <w:pPr>
              <w:widowControl/>
              <w:shd w:val="clear"/>
              <w:spacing w:line="460" w:lineRule="exact"/>
              <w:ind w:firstLine="241" w:firstLineChars="100"/>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采购预算控制金额：</w:t>
            </w:r>
          </w:p>
          <w:p w14:paraId="6E43DDC6">
            <w:pPr>
              <w:widowControl/>
              <w:shd w:val="clear"/>
              <w:spacing w:line="460" w:lineRule="exact"/>
              <w:ind w:firstLine="241" w:firstLineChars="100"/>
              <w:jc w:val="left"/>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大写：</w:t>
            </w:r>
            <w:r>
              <w:rPr>
                <w:rFonts w:hint="eastAsia" w:ascii="宋体" w:hAnsi="宋体" w:cs="宋体"/>
                <w:b/>
                <w:color w:val="auto"/>
                <w:kern w:val="0"/>
                <w:sz w:val="24"/>
                <w:highlight w:val="none"/>
                <w:lang w:val="en-US" w:eastAsia="zh-CN"/>
              </w:rPr>
              <w:t>陆拾叁万伍仟柒佰叁拾玖元整</w:t>
            </w:r>
            <w:r>
              <w:rPr>
                <w:rFonts w:hint="eastAsia" w:ascii="宋体" w:hAnsi="宋体" w:eastAsia="宋体" w:cs="宋体"/>
                <w:b/>
                <w:color w:val="auto"/>
                <w:kern w:val="0"/>
                <w:sz w:val="24"/>
                <w:highlight w:val="none"/>
                <w:lang w:val="en-US" w:eastAsia="zh-CN"/>
              </w:rPr>
              <w:t>（小写：¥</w:t>
            </w:r>
            <w:r>
              <w:rPr>
                <w:rFonts w:hint="eastAsia" w:ascii="宋体" w:hAnsi="宋体" w:cs="宋体"/>
                <w:b/>
                <w:color w:val="auto"/>
                <w:kern w:val="0"/>
                <w:sz w:val="24"/>
                <w:highlight w:val="none"/>
                <w:lang w:val="en-US" w:eastAsia="zh-CN"/>
              </w:rPr>
              <w:t>950000</w:t>
            </w:r>
            <w:r>
              <w:rPr>
                <w:rFonts w:hint="eastAsia" w:ascii="宋体" w:hAnsi="宋体" w:eastAsia="宋体" w:cs="宋体"/>
                <w:b/>
                <w:color w:val="auto"/>
                <w:kern w:val="0"/>
                <w:sz w:val="24"/>
                <w:highlight w:val="none"/>
                <w:lang w:val="en-US" w:eastAsia="zh-CN"/>
              </w:rPr>
              <w:t>.00元）</w:t>
            </w:r>
            <w:r>
              <w:rPr>
                <w:rFonts w:hint="eastAsia" w:ascii="宋体" w:hAnsi="宋体" w:cs="宋体"/>
                <w:b/>
                <w:color w:val="auto"/>
                <w:kern w:val="0"/>
                <w:sz w:val="24"/>
                <w:highlight w:val="none"/>
                <w:lang w:val="en-US" w:eastAsia="zh-CN"/>
              </w:rPr>
              <w:t>。</w:t>
            </w:r>
          </w:p>
          <w:p w14:paraId="3C9FE1BA">
            <w:pPr>
              <w:widowControl/>
              <w:shd w:val="clear"/>
              <w:spacing w:line="460" w:lineRule="exact"/>
              <w:ind w:firstLine="240" w:firstLineChars="100"/>
              <w:rPr>
                <w:rFonts w:hint="eastAsia" w:ascii="宋体" w:hAnsi="宋体" w:cs="宋体"/>
                <w:color w:val="auto"/>
                <w:highlight w:val="none"/>
              </w:rPr>
            </w:pPr>
            <w:r>
              <w:rPr>
                <w:rFonts w:hint="eastAsia" w:ascii="宋体" w:hAnsi="宋体" w:cs="宋体"/>
                <w:bCs/>
                <w:color w:val="auto"/>
                <w:kern w:val="0"/>
                <w:sz w:val="24"/>
                <w:highlight w:val="none"/>
              </w:rPr>
              <w:t>供应商的投标报价高于采购预算控制金额的视为无效报价，其投标予以拒绝；当成交人的投标价高于控制价的95%时，该成交人的成交价按控制价的95%执行。</w:t>
            </w:r>
          </w:p>
        </w:tc>
      </w:tr>
      <w:tr w14:paraId="2B12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32" w:type="dxa"/>
            <w:vAlign w:val="center"/>
          </w:tcPr>
          <w:p w14:paraId="0486FCE4">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10</w:t>
            </w:r>
          </w:p>
        </w:tc>
        <w:tc>
          <w:tcPr>
            <w:tcW w:w="8547" w:type="dxa"/>
            <w:vAlign w:val="center"/>
          </w:tcPr>
          <w:p w14:paraId="49A070BF">
            <w:pPr>
              <w:pStyle w:val="74"/>
              <w:widowControl w:val="0"/>
              <w:pBdr>
                <w:bottom w:val="none" w:color="auto" w:sz="0" w:space="0"/>
              </w:pBdr>
              <w:shd w:val="clear"/>
              <w:spacing w:beforeAutospacing="0" w:afterAutospacing="0" w:line="460" w:lineRule="exact"/>
              <w:ind w:firstLine="240" w:firstLineChars="100"/>
              <w:jc w:val="both"/>
              <w:textAlignment w:val="auto"/>
              <w:rPr>
                <w:rFonts w:hint="eastAsia" w:ascii="宋体" w:eastAsia="宋体" w:cs="宋体"/>
                <w:b w:val="0"/>
                <w:color w:val="auto"/>
                <w:sz w:val="24"/>
                <w:szCs w:val="24"/>
                <w:highlight w:val="none"/>
              </w:rPr>
            </w:pPr>
            <w:r>
              <w:rPr>
                <w:rFonts w:hint="eastAsia" w:ascii="宋体" w:eastAsia="宋体" w:cs="宋体"/>
                <w:b w:val="0"/>
                <w:color w:val="auto"/>
                <w:sz w:val="24"/>
                <w:szCs w:val="24"/>
                <w:highlight w:val="none"/>
              </w:rPr>
              <w:t>投标有效期：60日历天</w:t>
            </w:r>
          </w:p>
        </w:tc>
      </w:tr>
      <w:tr w14:paraId="46C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2" w:type="dxa"/>
            <w:vAlign w:val="center"/>
          </w:tcPr>
          <w:p w14:paraId="751D2CB6">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w:t>
            </w:r>
          </w:p>
        </w:tc>
        <w:tc>
          <w:tcPr>
            <w:tcW w:w="8547" w:type="dxa"/>
            <w:vAlign w:val="center"/>
          </w:tcPr>
          <w:p w14:paraId="6D5D0615">
            <w:pPr>
              <w:widowControl/>
              <w:shd w:val="clear"/>
              <w:spacing w:line="460" w:lineRule="exact"/>
              <w:ind w:firstLine="240" w:firstLineChars="1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1、采购人信息：</w:t>
            </w:r>
          </w:p>
          <w:p w14:paraId="1FE79B20">
            <w:pPr>
              <w:widowControl/>
              <w:shd w:val="clear"/>
              <w:spacing w:line="460" w:lineRule="exact"/>
              <w:ind w:firstLine="240" w:firstLineChars="1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采购人：博爱县人民医院</w:t>
            </w:r>
          </w:p>
          <w:p w14:paraId="6A7DE181">
            <w:pPr>
              <w:widowControl/>
              <w:shd w:val="clear"/>
              <w:spacing w:line="460" w:lineRule="exact"/>
              <w:ind w:firstLine="240" w:firstLineChars="1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  址：焦作市博爱县清化镇滨河路1号</w:t>
            </w:r>
          </w:p>
          <w:p w14:paraId="18C0B96E">
            <w:pPr>
              <w:widowControl/>
              <w:shd w:val="clear"/>
              <w:spacing w:line="460" w:lineRule="exact"/>
              <w:ind w:firstLine="240" w:firstLineChars="1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联系人：原先生 </w:t>
            </w:r>
          </w:p>
          <w:p w14:paraId="2C4DB8AB">
            <w:pPr>
              <w:widowControl/>
              <w:shd w:val="clear"/>
              <w:spacing w:line="460" w:lineRule="exact"/>
              <w:ind w:firstLine="240" w:firstLineChars="1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  话：15938145100</w:t>
            </w:r>
          </w:p>
          <w:p w14:paraId="4394936D">
            <w:pPr>
              <w:widowControl/>
              <w:shd w:val="clear"/>
              <w:spacing w:line="460" w:lineRule="exact"/>
              <w:ind w:firstLine="240" w:firstLineChars="1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2、采购代理机构信息：</w:t>
            </w:r>
          </w:p>
          <w:p w14:paraId="44E9C9A6">
            <w:pPr>
              <w:widowControl/>
              <w:shd w:val="clear"/>
              <w:spacing w:line="460" w:lineRule="exact"/>
              <w:ind w:firstLine="240" w:firstLineChars="1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名  称：河南中达豫通项目管理有限公司</w:t>
            </w:r>
          </w:p>
          <w:p w14:paraId="4416713A">
            <w:pPr>
              <w:widowControl/>
              <w:shd w:val="clear"/>
              <w:spacing w:line="460" w:lineRule="exact"/>
              <w:ind w:firstLine="240" w:firstLineChars="1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  址：博爱县鸿昌街道办事处</w:t>
            </w:r>
            <w:bookmarkStart w:id="73" w:name="_GoBack"/>
            <w:bookmarkEnd w:id="73"/>
            <w:r>
              <w:rPr>
                <w:rFonts w:hint="eastAsia" w:ascii="宋体" w:hAnsi="宋体" w:cs="宋体"/>
                <w:color w:val="auto"/>
                <w:sz w:val="24"/>
                <w:highlight w:val="none"/>
                <w:lang w:val="en-US" w:eastAsia="zh-CN"/>
              </w:rPr>
              <w:t xml:space="preserve">团结路北段商务局院内三楼 </w:t>
            </w:r>
          </w:p>
          <w:p w14:paraId="7A02F3A3">
            <w:pPr>
              <w:widowControl/>
              <w:shd w:val="clear"/>
              <w:spacing w:line="460" w:lineRule="exact"/>
              <w:ind w:firstLine="240" w:firstLineChars="1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联系人：秦先生 </w:t>
            </w:r>
          </w:p>
          <w:p w14:paraId="46B9CBBC">
            <w:pPr>
              <w:widowControl/>
              <w:shd w:val="clear"/>
              <w:spacing w:line="460" w:lineRule="exact"/>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电  话：18339791590</w:t>
            </w:r>
          </w:p>
        </w:tc>
      </w:tr>
      <w:tr w14:paraId="26A5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dxa"/>
            <w:vAlign w:val="center"/>
          </w:tcPr>
          <w:p w14:paraId="02979291">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w:t>
            </w:r>
          </w:p>
        </w:tc>
        <w:tc>
          <w:tcPr>
            <w:tcW w:w="8547" w:type="dxa"/>
            <w:vAlign w:val="center"/>
          </w:tcPr>
          <w:p w14:paraId="54D91270">
            <w:pPr>
              <w:pStyle w:val="74"/>
              <w:widowControl w:val="0"/>
              <w:pBdr>
                <w:bottom w:val="none" w:color="auto" w:sz="0" w:space="0"/>
              </w:pBdr>
              <w:shd w:val="clear"/>
              <w:spacing w:beforeAutospacing="0" w:afterAutospacing="0" w:line="460" w:lineRule="exact"/>
              <w:ind w:firstLine="240" w:firstLineChars="100"/>
              <w:jc w:val="both"/>
              <w:textAlignment w:val="auto"/>
              <w:rPr>
                <w:rFonts w:hint="eastAsia" w:ascii="宋体" w:eastAsia="宋体" w:cs="宋体"/>
                <w:b w:val="0"/>
                <w:color w:val="auto"/>
                <w:kern w:val="2"/>
                <w:sz w:val="24"/>
                <w:szCs w:val="24"/>
                <w:highlight w:val="none"/>
              </w:rPr>
            </w:pPr>
            <w:r>
              <w:rPr>
                <w:rFonts w:hint="eastAsia" w:ascii="宋体" w:eastAsia="宋体" w:cs="宋体"/>
                <w:b w:val="0"/>
                <w:color w:val="auto"/>
                <w:kern w:val="2"/>
                <w:sz w:val="24"/>
                <w:szCs w:val="24"/>
                <w:highlight w:val="none"/>
              </w:rPr>
              <w:t>代理服务费：参照豫招协[2023]002号《河南省招标代理服务收费指导意见》中的标准</w:t>
            </w:r>
            <w:r>
              <w:rPr>
                <w:rFonts w:hint="eastAsia" w:ascii="宋体" w:eastAsia="宋体" w:cs="宋体"/>
                <w:b w:val="0"/>
                <w:color w:val="auto"/>
                <w:kern w:val="2"/>
                <w:sz w:val="24"/>
                <w:szCs w:val="24"/>
                <w:highlight w:val="none"/>
                <w:lang w:eastAsia="zh-CN"/>
              </w:rPr>
              <w:t>，</w:t>
            </w:r>
            <w:r>
              <w:rPr>
                <w:rFonts w:hint="eastAsia" w:ascii="宋体" w:eastAsia="宋体" w:cs="宋体"/>
                <w:b w:val="0"/>
                <w:color w:val="auto"/>
                <w:kern w:val="2"/>
                <w:sz w:val="24"/>
                <w:szCs w:val="24"/>
                <w:highlight w:val="none"/>
              </w:rPr>
              <w:t>由成交人在领取成交通知书前，向代理机构足额缴纳。</w:t>
            </w:r>
          </w:p>
        </w:tc>
      </w:tr>
      <w:tr w14:paraId="01E1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dxa"/>
            <w:vAlign w:val="center"/>
          </w:tcPr>
          <w:p w14:paraId="29878A45">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kern w:val="2"/>
                <w:sz w:val="24"/>
                <w:szCs w:val="24"/>
                <w:highlight w:val="none"/>
              </w:rPr>
            </w:pPr>
            <w:bookmarkStart w:id="6" w:name="_Toc533668868"/>
            <w:bookmarkStart w:id="7" w:name="_Toc20290"/>
            <w:r>
              <w:rPr>
                <w:rFonts w:hint="eastAsia" w:ascii="宋体" w:eastAsia="宋体" w:cs="宋体"/>
                <w:b w:val="0"/>
                <w:color w:val="auto"/>
                <w:sz w:val="21"/>
                <w:szCs w:val="21"/>
                <w:highlight w:val="none"/>
              </w:rPr>
              <w:t>13</w:t>
            </w:r>
          </w:p>
        </w:tc>
        <w:tc>
          <w:tcPr>
            <w:tcW w:w="8547" w:type="dxa"/>
            <w:vAlign w:val="center"/>
          </w:tcPr>
          <w:p w14:paraId="4FD0372E">
            <w:pPr>
              <w:pStyle w:val="74"/>
              <w:widowControl w:val="0"/>
              <w:pBdr>
                <w:bottom w:val="none" w:color="auto" w:sz="0" w:space="0"/>
              </w:pBdr>
              <w:shd w:val="clear"/>
              <w:spacing w:beforeAutospacing="0" w:afterAutospacing="0" w:line="460" w:lineRule="exact"/>
              <w:ind w:firstLine="241" w:firstLineChars="1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1、本项目采购货物在质保期内属于货物质量问题的，成交供应商应免费维修，不能维修的应及时更换新货物，供应商须针对质保期内的质量问题提供承诺函。</w:t>
            </w:r>
          </w:p>
          <w:p w14:paraId="30003B61">
            <w:pPr>
              <w:pStyle w:val="74"/>
              <w:widowControl w:val="0"/>
              <w:pBdr>
                <w:bottom w:val="none" w:color="auto" w:sz="0" w:space="0"/>
              </w:pBdr>
              <w:shd w:val="clear"/>
              <w:spacing w:beforeAutospacing="0" w:afterAutospacing="0" w:line="460" w:lineRule="exact"/>
              <w:ind w:firstLine="241" w:firstLineChars="100"/>
              <w:jc w:val="both"/>
              <w:textAlignment w:val="auto"/>
              <w:rPr>
                <w:rFonts w:hint="eastAsia" w:ascii="宋体" w:eastAsia="宋体" w:cs="宋体"/>
                <w:b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SA"/>
              </w:rPr>
              <w:t>2、供应商对其提供的产品出具《关于符合本国产品标准的声明函》，采购人、采购代理机构应当随中标、成交结果同时公告中标、成交供应商提供的《声明函》。</w:t>
            </w:r>
          </w:p>
        </w:tc>
      </w:tr>
      <w:tr w14:paraId="1D88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dxa"/>
            <w:vAlign w:val="center"/>
          </w:tcPr>
          <w:p w14:paraId="482270FA">
            <w:pPr>
              <w:pStyle w:val="74"/>
              <w:widowControl w:val="0"/>
              <w:pBdr>
                <w:bottom w:val="none" w:color="auto" w:sz="0" w:space="0"/>
              </w:pBdr>
              <w:shd w:val="clear"/>
              <w:spacing w:beforeAutospacing="0" w:afterAutospacing="0" w:line="360" w:lineRule="auto"/>
              <w:textAlignment w:val="auto"/>
              <w:rPr>
                <w:rFonts w:hint="default" w:ascii="宋体" w:eastAsia="宋体" w:cs="宋体"/>
                <w:b w:val="0"/>
                <w:color w:val="auto"/>
                <w:sz w:val="21"/>
                <w:szCs w:val="21"/>
                <w:highlight w:val="none"/>
                <w:lang w:val="en-US" w:eastAsia="zh-CN"/>
              </w:rPr>
            </w:pPr>
            <w:r>
              <w:rPr>
                <w:rFonts w:hint="eastAsia" w:ascii="宋体" w:eastAsia="宋体" w:cs="宋体"/>
                <w:b w:val="0"/>
                <w:color w:val="auto"/>
                <w:sz w:val="21"/>
                <w:szCs w:val="21"/>
                <w:highlight w:val="none"/>
                <w:lang w:val="en-US" w:eastAsia="zh-CN"/>
              </w:rPr>
              <w:t>14</w:t>
            </w:r>
          </w:p>
        </w:tc>
        <w:tc>
          <w:tcPr>
            <w:tcW w:w="8547" w:type="dxa"/>
            <w:vAlign w:val="center"/>
          </w:tcPr>
          <w:p w14:paraId="7CE98BED">
            <w:pPr>
              <w:pStyle w:val="74"/>
              <w:widowControl w:val="0"/>
              <w:pBdr>
                <w:bottom w:val="none" w:color="auto" w:sz="0" w:space="0"/>
              </w:pBdr>
              <w:shd w:val="clear"/>
              <w:spacing w:beforeAutospacing="0" w:afterAutospacing="0" w:line="42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本项目落实政府采购政策：</w:t>
            </w:r>
          </w:p>
          <w:p w14:paraId="6DBA2110">
            <w:pPr>
              <w:widowControl/>
              <w:shd w:val="clear"/>
              <w:ind w:firstLine="482"/>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1、对中小型或微型企业投标的扶持：</w:t>
            </w:r>
          </w:p>
          <w:p w14:paraId="141675AF">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color w:val="auto"/>
                <w:kern w:val="0"/>
                <w:sz w:val="24"/>
                <w:highlight w:val="none"/>
                <w:lang w:val="en-US" w:eastAsia="zh-CN"/>
              </w:rPr>
              <w:t>提供</w:t>
            </w:r>
            <w:r>
              <w:rPr>
                <w:rFonts w:hint="eastAsia" w:ascii="宋体" w:hAnsi="宋体" w:eastAsia="宋体" w:cs="宋体"/>
                <w:b w:val="0"/>
                <w:color w:val="auto"/>
                <w:kern w:val="2"/>
                <w:sz w:val="24"/>
                <w:szCs w:val="24"/>
                <w:highlight w:val="none"/>
                <w:lang w:val="en-US" w:eastAsia="zh-CN" w:bidi="ar-SA"/>
              </w:rPr>
              <w:t>小型或微型企业产品时，报价给予C1的价格扣除（C1的取值为20%），即：评标价＝投标报价（最后报价）×(1－C1）；</w:t>
            </w:r>
          </w:p>
          <w:p w14:paraId="5D3D0524">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小微企业应当提供《中小企业声明函》（见格式）。</w:t>
            </w:r>
          </w:p>
          <w:p w14:paraId="7A16A8CB">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.2按照《政府采购促进中小企业发展管理办法》有关规定，中小企业的标准为：</w:t>
            </w:r>
          </w:p>
          <w:p w14:paraId="1458A43F">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.2.1提供本企业制造的货物、承担的工程或者服务，或者提供其他中小企业制造的货物，不包括提供或使用大型企业注册商标的货物；</w:t>
            </w:r>
          </w:p>
          <w:p w14:paraId="02721102">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.2.2本规定所称中小企业划分标准，是指国务院有关部门根据企业从业人员、营业收入、资产总额等指标制定的中小企业划型标准(工信部联企业[2011]300号)；</w:t>
            </w:r>
          </w:p>
          <w:p w14:paraId="2D9D5678">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b w:val="0"/>
                <w:color w:val="auto"/>
                <w:kern w:val="2"/>
                <w:sz w:val="24"/>
                <w:szCs w:val="24"/>
                <w:highlight w:val="none"/>
                <w:lang w:val="en-US" w:eastAsia="zh-CN" w:bidi="ar-SA"/>
              </w:rPr>
              <w:t>.2.3小型、微型企业提供有中型企业制造的货物的，视同为中型企业；小型、微型、中型企业提供有大型企业制造的货物的，视同为大型企业。</w:t>
            </w:r>
          </w:p>
          <w:p w14:paraId="56EA9860">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2</w:t>
            </w:r>
            <w:r>
              <w:rPr>
                <w:rFonts w:hint="eastAsia" w:ascii="宋体" w:hAnsi="宋体" w:eastAsia="宋体" w:cs="宋体"/>
                <w:b w:val="0"/>
                <w:color w:val="auto"/>
                <w:kern w:val="2"/>
                <w:sz w:val="24"/>
                <w:szCs w:val="24"/>
                <w:highlight w:val="none"/>
                <w:lang w:val="en-US" w:eastAsia="zh-CN" w:bidi="ar-SA"/>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185B6B94">
            <w:pPr>
              <w:widowControl/>
              <w:shd w:val="clear"/>
              <w:ind w:firstLine="482"/>
              <w:jc w:val="both"/>
              <w:rPr>
                <w:rFonts w:hint="eastAsia" w:ascii="宋体" w:hAnsi="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3</w:t>
            </w:r>
            <w:r>
              <w:rPr>
                <w:rFonts w:hint="eastAsia" w:ascii="宋体" w:hAnsi="宋体" w:eastAsia="宋体" w:cs="宋体"/>
                <w:b w:val="0"/>
                <w:color w:val="auto"/>
                <w:kern w:val="2"/>
                <w:sz w:val="24"/>
                <w:szCs w:val="24"/>
                <w:highlight w:val="none"/>
                <w:lang w:val="en-US" w:eastAsia="zh-CN" w:bidi="ar-SA"/>
              </w:rPr>
              <w:t>、供应商对其提供的产品出具《关于符合本国产品标准的声明函》或财政部会同有关部门规定的有关证明文件，采购人、采购代理机构应当随中标、成交结果同时公告中标、成交供应商提供的《声明函》。</w:t>
            </w:r>
            <w:r>
              <w:rPr>
                <w:rFonts w:hint="eastAsia" w:ascii="宋体" w:hAnsi="宋体" w:cs="宋体"/>
                <w:b w:val="0"/>
                <w:color w:val="auto"/>
                <w:kern w:val="2"/>
                <w:sz w:val="24"/>
                <w:szCs w:val="24"/>
                <w:highlight w:val="none"/>
                <w:lang w:val="en-US" w:eastAsia="zh-CN" w:bidi="ar-SA"/>
              </w:rPr>
              <w:t xml:space="preserve">        </w:t>
            </w:r>
          </w:p>
          <w:p w14:paraId="270D2917">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F0B7C3A">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3.2既有本国产品又有非本国产品参与竞争的，依法对本国产品给予价格评审优惠，对本国产品的报价给予20%的价格扣除，用扣除后的价格参与评审。</w:t>
            </w:r>
          </w:p>
          <w:p w14:paraId="46616D61">
            <w:pPr>
              <w:widowControl/>
              <w:shd w:val="clear"/>
              <w:ind w:firstLine="482"/>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C31FD3F">
            <w:pPr>
              <w:pStyle w:val="74"/>
              <w:widowControl w:val="0"/>
              <w:pBdr>
                <w:bottom w:val="none" w:color="auto" w:sz="0" w:space="0"/>
              </w:pBdr>
              <w:shd w:val="clear"/>
              <w:spacing w:beforeAutospacing="0" w:afterAutospacing="0" w:line="460" w:lineRule="exact"/>
              <w:ind w:firstLine="480" w:firstLineChars="20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eastAsia="宋体" w:cs="宋体"/>
                <w:b w:val="0"/>
                <w:color w:val="auto"/>
                <w:kern w:val="2"/>
                <w:sz w:val="24"/>
                <w:szCs w:val="24"/>
                <w:highlight w:val="none"/>
                <w:lang w:val="en-US" w:eastAsia="zh-CN" w:bidi="ar-SA"/>
              </w:rPr>
              <w:t>4</w:t>
            </w:r>
            <w:r>
              <w:rPr>
                <w:rFonts w:hint="eastAsia" w:ascii="宋体" w:hAnsi="宋体" w:eastAsia="宋体" w:cs="宋体"/>
                <w:b w:val="0"/>
                <w:color w:val="auto"/>
                <w:kern w:val="2"/>
                <w:sz w:val="24"/>
                <w:szCs w:val="24"/>
                <w:highlight w:val="none"/>
                <w:lang w:val="en-US" w:eastAsia="zh-CN" w:bidi="ar-SA"/>
              </w:rPr>
              <w:t>、为落实政府采购政策，本次招标强制采购的节能产品（如有）：如果需求中有节能产品则应该列明强制节能产品，并提供强制节能认证证书。</w:t>
            </w:r>
          </w:p>
          <w:p w14:paraId="3E29D6AA">
            <w:pPr>
              <w:pStyle w:val="74"/>
              <w:widowControl w:val="0"/>
              <w:pBdr>
                <w:bottom w:val="none" w:color="auto" w:sz="0" w:space="0"/>
              </w:pBdr>
              <w:shd w:val="clear"/>
              <w:spacing w:beforeAutospacing="0" w:afterAutospacing="0" w:line="460" w:lineRule="exact"/>
              <w:ind w:firstLine="240" w:firstLineChars="100"/>
              <w:jc w:val="both"/>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投标人实施过程中产品属于现行的《节能产品政府采购品目清单》强制采购范围内的，应当在供货时提供依据国家确定的认证机构出具的、处于有效期之内的节能产品认证证书。</w:t>
            </w:r>
          </w:p>
        </w:tc>
      </w:tr>
      <w:tr w14:paraId="4378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732" w:type="dxa"/>
            <w:vAlign w:val="center"/>
          </w:tcPr>
          <w:p w14:paraId="5F70DAB3">
            <w:pPr>
              <w:pStyle w:val="74"/>
              <w:widowControl w:val="0"/>
              <w:pBdr>
                <w:bottom w:val="none" w:color="auto" w:sz="0" w:space="0"/>
              </w:pBdr>
              <w:shd w:val="clear"/>
              <w:spacing w:beforeAutospacing="0" w:afterAutospacing="0" w:line="360" w:lineRule="auto"/>
              <w:textAlignment w:val="auto"/>
              <w:rPr>
                <w:rFonts w:hint="eastAsia" w:ascii="宋体" w:eastAsia="宋体" w:cs="宋体"/>
                <w:b w:val="0"/>
                <w:color w:val="auto"/>
                <w:sz w:val="21"/>
                <w:szCs w:val="21"/>
                <w:highlight w:val="none"/>
                <w:lang w:eastAsia="zh-CN"/>
              </w:rPr>
            </w:pPr>
            <w:r>
              <w:rPr>
                <w:rFonts w:hint="eastAsia" w:ascii="宋体" w:eastAsia="宋体" w:cs="宋体"/>
                <w:b w:val="0"/>
                <w:color w:val="auto"/>
                <w:sz w:val="21"/>
                <w:szCs w:val="21"/>
                <w:highlight w:val="none"/>
              </w:rPr>
              <w:t>1</w:t>
            </w:r>
            <w:r>
              <w:rPr>
                <w:rFonts w:hint="eastAsia" w:ascii="宋体" w:eastAsia="宋体" w:cs="宋体"/>
                <w:b w:val="0"/>
                <w:color w:val="auto"/>
                <w:sz w:val="21"/>
                <w:szCs w:val="21"/>
                <w:highlight w:val="none"/>
                <w:lang w:val="en-US" w:eastAsia="zh-CN"/>
              </w:rPr>
              <w:t>5</w:t>
            </w:r>
          </w:p>
        </w:tc>
        <w:tc>
          <w:tcPr>
            <w:tcW w:w="8547" w:type="dxa"/>
            <w:vAlign w:val="center"/>
          </w:tcPr>
          <w:p w14:paraId="0782E431">
            <w:pPr>
              <w:pStyle w:val="74"/>
              <w:widowControl w:val="0"/>
              <w:pBdr>
                <w:bottom w:val="none" w:color="auto" w:sz="0" w:space="0"/>
              </w:pBdr>
              <w:shd w:val="clear"/>
              <w:spacing w:beforeAutospacing="0" w:afterAutospacing="0" w:line="460" w:lineRule="exact"/>
              <w:ind w:firstLine="241" w:firstLineChars="100"/>
              <w:jc w:val="both"/>
              <w:textAlignment w:val="auto"/>
              <w:rPr>
                <w:rFonts w:hint="eastAsia" w:ascii="宋体" w:eastAsia="宋体" w:cs="宋体"/>
                <w:bCs/>
                <w:color w:val="auto"/>
                <w:kern w:val="2"/>
                <w:sz w:val="24"/>
                <w:szCs w:val="24"/>
                <w:highlight w:val="none"/>
              </w:rPr>
            </w:pPr>
            <w:r>
              <w:rPr>
                <w:rFonts w:hint="eastAsia" w:ascii="宋体" w:eastAsia="宋体" w:cs="宋体"/>
                <w:bCs/>
                <w:color w:val="auto"/>
                <w:kern w:val="2"/>
                <w:sz w:val="24"/>
                <w:szCs w:val="24"/>
                <w:highlight w:val="none"/>
              </w:rPr>
              <w:t>本竞争性谈判文件解释权归采购人。</w:t>
            </w:r>
          </w:p>
        </w:tc>
      </w:tr>
      <w:tr w14:paraId="5A6F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32" w:type="dxa"/>
            <w:vAlign w:val="center"/>
          </w:tcPr>
          <w:p w14:paraId="0D48CD6B">
            <w:pPr>
              <w:pStyle w:val="74"/>
              <w:widowControl w:val="0"/>
              <w:pBdr>
                <w:bottom w:val="none" w:color="auto" w:sz="0" w:space="0"/>
              </w:pBdr>
              <w:shd w:val="clear"/>
              <w:spacing w:beforeAutospacing="0" w:afterAutospacing="0" w:line="400" w:lineRule="exact"/>
              <w:textAlignment w:val="auto"/>
              <w:rPr>
                <w:rFonts w:hint="eastAsia" w:ascii="宋体" w:eastAsia="宋体" w:cs="宋体"/>
                <w:b w:val="0"/>
                <w:color w:val="auto"/>
                <w:sz w:val="21"/>
                <w:szCs w:val="21"/>
                <w:highlight w:val="none"/>
              </w:rPr>
            </w:pPr>
            <w:r>
              <w:rPr>
                <w:rFonts w:hint="eastAsia" w:ascii="宋体" w:eastAsia="宋体" w:cs="宋体"/>
                <w:color w:val="auto"/>
                <w:sz w:val="24"/>
                <w:szCs w:val="24"/>
                <w:highlight w:val="none"/>
              </w:rPr>
              <w:t>特别提醒</w:t>
            </w:r>
          </w:p>
        </w:tc>
        <w:tc>
          <w:tcPr>
            <w:tcW w:w="8547" w:type="dxa"/>
            <w:vAlign w:val="center"/>
          </w:tcPr>
          <w:p w14:paraId="3CFD4455">
            <w:pPr>
              <w:shd w:val="clear"/>
              <w:spacing w:line="480" w:lineRule="exact"/>
              <w:ind w:firstLine="241" w:firstLineChars="100"/>
              <w:rPr>
                <w:rFonts w:hint="eastAsia" w:ascii="宋体" w:hAnsi="宋体" w:cs="宋体"/>
                <w:b/>
                <w:bCs/>
                <w:color w:val="auto"/>
                <w:sz w:val="24"/>
                <w:highlight w:val="none"/>
              </w:rPr>
            </w:pPr>
            <w:r>
              <w:rPr>
                <w:rFonts w:ascii="宋体" w:hAnsi="宋体" w:cs="宋体"/>
                <w:b/>
                <w:bCs/>
                <w:color w:val="auto"/>
                <w:sz w:val="24"/>
                <w:highlight w:val="none"/>
              </w:rPr>
              <w:t>1、因电子化评标需要，谈判小组要求供应商进行二轮报价以及作出澄清、说明或补正均采用网上方式进行。</w:t>
            </w:r>
          </w:p>
          <w:p w14:paraId="5B334F23">
            <w:pPr>
              <w:shd w:val="clear"/>
              <w:spacing w:line="480" w:lineRule="exact"/>
              <w:ind w:firstLine="241" w:firstLineChars="100"/>
              <w:rPr>
                <w:rFonts w:hint="eastAsia" w:ascii="宋体" w:hAnsi="宋体" w:cs="宋体"/>
                <w:b/>
                <w:bCs/>
                <w:color w:val="auto"/>
                <w:sz w:val="24"/>
                <w:highlight w:val="none"/>
              </w:rPr>
            </w:pPr>
            <w:r>
              <w:rPr>
                <w:rFonts w:ascii="宋体" w:hAnsi="宋体" w:cs="宋体"/>
                <w:b/>
                <w:bCs/>
                <w:color w:val="auto"/>
                <w:sz w:val="24"/>
                <w:highlight w:val="none"/>
              </w:rPr>
              <w:t>2、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w:t>
            </w:r>
          </w:p>
        </w:tc>
      </w:tr>
    </w:tbl>
    <w:p w14:paraId="3592698E">
      <w:pPr>
        <w:rPr>
          <w:rFonts w:hint="eastAsia"/>
          <w:color w:val="auto"/>
          <w:kern w:val="0"/>
          <w:sz w:val="28"/>
          <w:szCs w:val="28"/>
          <w:highlight w:val="none"/>
        </w:rPr>
      </w:pPr>
      <w:bookmarkStart w:id="8" w:name="_Toc16130"/>
      <w:bookmarkStart w:id="9" w:name="_Toc7945"/>
      <w:r>
        <w:rPr>
          <w:rFonts w:hint="eastAsia"/>
          <w:color w:val="auto"/>
          <w:kern w:val="0"/>
          <w:sz w:val="28"/>
          <w:szCs w:val="28"/>
          <w:highlight w:val="none"/>
        </w:rPr>
        <w:br w:type="page"/>
      </w:r>
    </w:p>
    <w:p w14:paraId="28CBED29">
      <w:pPr>
        <w:pStyle w:val="2"/>
        <w:shd w:val="clear"/>
        <w:spacing w:before="0" w:after="0" w:line="360" w:lineRule="auto"/>
        <w:jc w:val="center"/>
        <w:rPr>
          <w:color w:val="auto"/>
          <w:kern w:val="0"/>
          <w:sz w:val="28"/>
          <w:szCs w:val="28"/>
          <w:highlight w:val="none"/>
        </w:rPr>
      </w:pPr>
      <w:r>
        <w:rPr>
          <w:rFonts w:hint="eastAsia"/>
          <w:color w:val="auto"/>
          <w:kern w:val="0"/>
          <w:sz w:val="28"/>
          <w:szCs w:val="28"/>
          <w:highlight w:val="none"/>
        </w:rPr>
        <w:t>第一部分 采购项目相关内容及要求</w:t>
      </w:r>
      <w:bookmarkEnd w:id="6"/>
      <w:bookmarkEnd w:id="7"/>
      <w:bookmarkEnd w:id="8"/>
      <w:bookmarkEnd w:id="9"/>
    </w:p>
    <w:p w14:paraId="3255F9B0">
      <w:pPr>
        <w:widowControl/>
        <w:numPr>
          <w:ilvl w:val="0"/>
          <w:numId w:val="0"/>
        </w:numPr>
        <w:shd w:val="clear"/>
        <w:spacing w:line="500" w:lineRule="exact"/>
        <w:ind w:left="0" w:leftChars="0" w:firstLine="480" w:firstLineChars="0"/>
        <w:rPr>
          <w:rFonts w:hint="eastAsia" w:ascii="宋体" w:hAnsi="宋体"/>
          <w:color w:val="auto"/>
          <w:kern w:val="0"/>
          <w:sz w:val="24"/>
          <w:highlight w:val="none"/>
        </w:rPr>
      </w:pPr>
      <w:r>
        <w:rPr>
          <w:rFonts w:hint="default" w:ascii="宋体" w:hAnsi="宋体" w:eastAsia="宋体" w:cs="Times New Roman"/>
          <w:i w:val="0"/>
          <w:iCs w:val="0"/>
          <w:color w:val="auto"/>
          <w:kern w:val="0"/>
          <w:sz w:val="24"/>
          <w:szCs w:val="24"/>
          <w:highlight w:val="none"/>
          <w:lang w:val="en-US" w:eastAsia="zh-CN" w:bidi="ar-SA"/>
        </w:rPr>
        <w:t>1.</w:t>
      </w:r>
      <w:r>
        <w:rPr>
          <w:rFonts w:hint="eastAsia" w:ascii="宋体" w:hAnsi="宋体"/>
          <w:color w:val="auto"/>
          <w:kern w:val="0"/>
          <w:sz w:val="24"/>
          <w:highlight w:val="none"/>
        </w:rPr>
        <w:t>项目基本情况</w:t>
      </w:r>
    </w:p>
    <w:p w14:paraId="2758ACD5">
      <w:pPr>
        <w:widowControl/>
        <w:shd w:val="clear"/>
        <w:spacing w:line="500" w:lineRule="exact"/>
        <w:ind w:firstLine="480" w:firstLineChars="200"/>
        <w:rPr>
          <w:rFonts w:hint="eastAsia" w:ascii="宋体" w:hAnsi="宋体" w:eastAsia="宋体"/>
          <w:color w:val="auto"/>
          <w:kern w:val="0"/>
          <w:sz w:val="24"/>
          <w:highlight w:val="none"/>
          <w:u w:val="single"/>
          <w:lang w:eastAsia="zh-CN"/>
        </w:rPr>
      </w:pPr>
      <w:r>
        <w:rPr>
          <w:rFonts w:hint="eastAsia" w:ascii="宋体" w:hAnsi="宋体"/>
          <w:color w:val="auto"/>
          <w:kern w:val="0"/>
          <w:sz w:val="24"/>
          <w:highlight w:val="none"/>
        </w:rPr>
        <w:t>采 购 人：</w:t>
      </w:r>
      <w:r>
        <w:rPr>
          <w:rFonts w:hint="eastAsia" w:ascii="宋体" w:hAnsi="宋体" w:cs="宋体"/>
          <w:color w:val="auto"/>
          <w:sz w:val="24"/>
          <w:highlight w:val="none"/>
          <w:lang w:eastAsia="zh-CN"/>
        </w:rPr>
        <w:t>博爱县人民医院</w:t>
      </w:r>
    </w:p>
    <w:p w14:paraId="0FEB1D55">
      <w:pPr>
        <w:widowControl/>
        <w:shd w:val="clear"/>
        <w:spacing w:line="500" w:lineRule="exact"/>
        <w:ind w:firstLine="480" w:firstLineChars="200"/>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采购代理机构：</w:t>
      </w:r>
      <w:r>
        <w:rPr>
          <w:rFonts w:hint="eastAsia" w:ascii="宋体" w:hAnsi="宋体"/>
          <w:color w:val="auto"/>
          <w:kern w:val="0"/>
          <w:sz w:val="24"/>
          <w:highlight w:val="none"/>
          <w:lang w:eastAsia="zh-CN"/>
        </w:rPr>
        <w:t>河南中达豫通项目管理有限公司</w:t>
      </w:r>
    </w:p>
    <w:p w14:paraId="49D0F0F6">
      <w:pPr>
        <w:widowControl/>
        <w:shd w:val="clear"/>
        <w:spacing w:line="500" w:lineRule="exact"/>
        <w:ind w:firstLine="480" w:firstLineChars="200"/>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 xml:space="preserve">项目名称: </w:t>
      </w:r>
      <w:r>
        <w:rPr>
          <w:rFonts w:hint="eastAsia" w:ascii="宋体" w:hAnsi="宋体"/>
          <w:color w:val="auto"/>
          <w:kern w:val="0"/>
          <w:sz w:val="24"/>
          <w:highlight w:val="none"/>
          <w:lang w:eastAsia="zh-CN"/>
        </w:rPr>
        <w:t>博爱县人民医院无纸化病案管理系统采购项目</w:t>
      </w:r>
    </w:p>
    <w:p w14:paraId="6FB8F836">
      <w:pPr>
        <w:widowControl/>
        <w:shd w:val="clear"/>
        <w:spacing w:line="500" w:lineRule="exact"/>
        <w:ind w:firstLine="480" w:firstLineChars="200"/>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采购编号：</w:t>
      </w:r>
      <w:r>
        <w:rPr>
          <w:rFonts w:hint="eastAsia" w:ascii="宋体" w:hAnsi="宋体" w:cs="宋体"/>
          <w:color w:val="auto"/>
          <w:kern w:val="0"/>
          <w:sz w:val="24"/>
          <w:highlight w:val="none"/>
          <w:lang w:eastAsia="zh-CN"/>
        </w:rPr>
        <w:t>博政采购（2026）4号</w:t>
      </w:r>
    </w:p>
    <w:p w14:paraId="26173092">
      <w:pPr>
        <w:widowControl/>
        <w:shd w:val="clear"/>
        <w:spacing w:line="50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资金来源：</w:t>
      </w:r>
      <w:r>
        <w:rPr>
          <w:rFonts w:hint="eastAsia" w:ascii="宋体" w:hAnsi="宋体"/>
          <w:color w:val="auto"/>
          <w:kern w:val="0"/>
          <w:sz w:val="24"/>
          <w:highlight w:val="none"/>
          <w:lang w:val="en-US" w:eastAsia="zh-CN"/>
        </w:rPr>
        <w:t>自筹资金</w:t>
      </w:r>
    </w:p>
    <w:p w14:paraId="62AF1BBE">
      <w:pPr>
        <w:widowControl/>
        <w:numPr>
          <w:ilvl w:val="0"/>
          <w:numId w:val="0"/>
        </w:numPr>
        <w:shd w:val="clear"/>
        <w:spacing w:line="500" w:lineRule="exact"/>
        <w:ind w:left="0" w:leftChars="0" w:firstLine="480" w:firstLineChars="0"/>
        <w:rPr>
          <w:rFonts w:hint="eastAsia" w:ascii="宋体" w:hAnsi="宋体"/>
          <w:color w:val="auto"/>
          <w:kern w:val="0"/>
          <w:sz w:val="24"/>
          <w:highlight w:val="none"/>
        </w:rPr>
      </w:pPr>
      <w:r>
        <w:rPr>
          <w:rFonts w:hint="default" w:ascii="宋体" w:hAnsi="宋体" w:eastAsia="宋体" w:cs="Times New Roman"/>
          <w:i w:val="0"/>
          <w:iCs w:val="0"/>
          <w:color w:val="auto"/>
          <w:kern w:val="0"/>
          <w:sz w:val="24"/>
          <w:szCs w:val="24"/>
          <w:highlight w:val="none"/>
          <w:lang w:val="en-US" w:eastAsia="zh-CN" w:bidi="ar-SA"/>
        </w:rPr>
        <w:t>2.</w:t>
      </w:r>
      <w:r>
        <w:rPr>
          <w:rFonts w:hint="eastAsia" w:ascii="宋体" w:hAnsi="宋体"/>
          <w:color w:val="auto"/>
          <w:kern w:val="0"/>
          <w:sz w:val="24"/>
          <w:highlight w:val="none"/>
        </w:rPr>
        <w:t>供应商资格要求</w:t>
      </w:r>
    </w:p>
    <w:p w14:paraId="72C82588">
      <w:pPr>
        <w:widowControl/>
        <w:shd w:val="clear"/>
        <w:spacing w:line="50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2.1符合《中华人民共和国政府采购法》第二十二条之规定；</w:t>
      </w:r>
    </w:p>
    <w:p w14:paraId="0354C6A0">
      <w:pPr>
        <w:widowControl/>
        <w:shd w:val="clear"/>
        <w:spacing w:line="500" w:lineRule="exact"/>
        <w:ind w:firstLine="480" w:firstLineChars="20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2.2</w:t>
      </w:r>
      <w:r>
        <w:rPr>
          <w:rFonts w:hint="eastAsia" w:ascii="宋体" w:hAnsi="宋体" w:eastAsia="宋体" w:cs="Times New Roman"/>
          <w:color w:val="auto"/>
          <w:kern w:val="0"/>
          <w:sz w:val="24"/>
          <w:highlight w:val="none"/>
          <w:lang w:val="en-US" w:eastAsia="zh-CN"/>
        </w:rPr>
        <w:t>落实政府采购政策需满足的资格要求：促进中小企业和监狱企业发展扶持政策、政府强制采购节能产品、节能产品及环境标志产品优先采购</w:t>
      </w:r>
      <w:r>
        <w:rPr>
          <w:rFonts w:hint="eastAsia" w:ascii="宋体" w:hAnsi="宋体" w:cs="Times New Roman"/>
          <w:color w:val="auto"/>
          <w:kern w:val="0"/>
          <w:sz w:val="24"/>
          <w:highlight w:val="none"/>
          <w:lang w:val="en-US" w:eastAsia="zh-CN"/>
        </w:rPr>
        <w:t>；</w:t>
      </w:r>
    </w:p>
    <w:p w14:paraId="1EB5A212">
      <w:pPr>
        <w:widowControl/>
        <w:shd w:val="clear"/>
        <w:spacing w:line="500" w:lineRule="exact"/>
        <w:ind w:firstLine="480" w:firstLineChars="200"/>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lang w:val="en-US" w:eastAsia="zh-CN"/>
        </w:rPr>
        <w:t>2.</w:t>
      </w:r>
      <w:r>
        <w:rPr>
          <w:rFonts w:hint="eastAsia" w:ascii="宋体" w:hAnsi="宋体" w:eastAsia="宋体" w:cs="Times New Roman"/>
          <w:color w:val="auto"/>
          <w:kern w:val="0"/>
          <w:sz w:val="24"/>
          <w:highlight w:val="none"/>
        </w:rPr>
        <w:t>3.本项目的特定资格要求：</w:t>
      </w:r>
    </w:p>
    <w:p w14:paraId="19C85D14">
      <w:pPr>
        <w:widowControl/>
        <w:shd w:val="clear"/>
        <w:spacing w:line="500" w:lineRule="exact"/>
        <w:ind w:firstLine="480" w:firstLineChars="200"/>
        <w:rPr>
          <w:rFonts w:hint="eastAsia"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2.</w:t>
      </w:r>
      <w:r>
        <w:rPr>
          <w:rFonts w:hint="eastAsia" w:ascii="宋体" w:hAnsi="宋体" w:eastAsia="宋体" w:cs="Times New Roman"/>
          <w:color w:val="auto"/>
          <w:kern w:val="0"/>
          <w:sz w:val="24"/>
          <w:highlight w:val="none"/>
        </w:rPr>
        <w:t>3.1供应商须具有有效的营业执照，并具有实施完成本项目的经营实力和完善的售后服务体系；</w:t>
      </w:r>
    </w:p>
    <w:p w14:paraId="1DC5BC2C">
      <w:pPr>
        <w:widowControl/>
        <w:shd w:val="clear"/>
        <w:spacing w:line="500" w:lineRule="exact"/>
        <w:ind w:firstLine="480" w:firstLineChars="200"/>
        <w:rPr>
          <w:rFonts w:hint="eastAsia"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2.</w:t>
      </w:r>
      <w:r>
        <w:rPr>
          <w:rFonts w:hint="eastAsia" w:ascii="宋体" w:hAnsi="宋体" w:eastAsia="宋体" w:cs="Times New Roman"/>
          <w:color w:val="auto"/>
          <w:kern w:val="0"/>
          <w:sz w:val="24"/>
          <w:highlight w:val="none"/>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p>
    <w:p w14:paraId="4FEAC9FB">
      <w:pPr>
        <w:widowControl/>
        <w:shd w:val="clear"/>
        <w:spacing w:line="500" w:lineRule="exact"/>
        <w:ind w:firstLine="480" w:firstLineChars="200"/>
        <w:rPr>
          <w:rFonts w:hint="eastAsia"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2.</w:t>
      </w:r>
      <w:r>
        <w:rPr>
          <w:rFonts w:hint="eastAsia" w:ascii="宋体" w:hAnsi="宋体" w:eastAsia="宋体" w:cs="Times New Roman"/>
          <w:color w:val="auto"/>
          <w:kern w:val="0"/>
          <w:sz w:val="24"/>
          <w:highlight w:val="none"/>
        </w:rPr>
        <w:t>3.3本项目不接受联合体投标；</w:t>
      </w:r>
    </w:p>
    <w:p w14:paraId="39869EC0">
      <w:pPr>
        <w:widowControl/>
        <w:shd w:val="clear"/>
        <w:spacing w:line="500" w:lineRule="exact"/>
        <w:ind w:firstLine="480" w:firstLineChars="200"/>
        <w:rPr>
          <w:rFonts w:hint="eastAsia" w:ascii="宋体" w:hAnsi="宋体" w:eastAsia="宋体" w:cs="Times New Roman"/>
          <w:color w:val="auto"/>
          <w:kern w:val="0"/>
          <w:sz w:val="24"/>
          <w:highlight w:val="none"/>
        </w:rPr>
      </w:pPr>
      <w:r>
        <w:rPr>
          <w:rFonts w:hint="eastAsia" w:ascii="宋体" w:hAnsi="宋体" w:cs="Times New Roman"/>
          <w:color w:val="auto"/>
          <w:kern w:val="0"/>
          <w:sz w:val="24"/>
          <w:highlight w:val="none"/>
          <w:lang w:val="en-US" w:eastAsia="zh-CN"/>
        </w:rPr>
        <w:t>2.</w:t>
      </w:r>
      <w:r>
        <w:rPr>
          <w:rFonts w:hint="eastAsia" w:ascii="宋体" w:hAnsi="宋体" w:eastAsia="宋体" w:cs="Times New Roman"/>
          <w:color w:val="auto"/>
          <w:kern w:val="0"/>
          <w:sz w:val="24"/>
          <w:highlight w:val="none"/>
        </w:rPr>
        <w:t>3.4资格审查方式：资格后审。</w:t>
      </w:r>
    </w:p>
    <w:p w14:paraId="04BD8247">
      <w:pPr>
        <w:widowControl/>
        <w:numPr>
          <w:ilvl w:val="0"/>
          <w:numId w:val="0"/>
        </w:numPr>
        <w:shd w:val="clear"/>
        <w:spacing w:line="500" w:lineRule="exact"/>
        <w:ind w:left="0" w:leftChars="0" w:firstLine="480" w:firstLineChars="0"/>
        <w:rPr>
          <w:rFonts w:hint="eastAsia" w:ascii="宋体" w:hAnsi="宋体"/>
          <w:color w:val="auto"/>
          <w:kern w:val="0"/>
          <w:sz w:val="24"/>
          <w:highlight w:val="none"/>
        </w:rPr>
      </w:pPr>
      <w:r>
        <w:rPr>
          <w:rFonts w:hint="default" w:ascii="宋体" w:hAnsi="宋体" w:eastAsia="宋体" w:cs="Times New Roman"/>
          <w:i w:val="0"/>
          <w:iCs w:val="0"/>
          <w:color w:val="auto"/>
          <w:kern w:val="0"/>
          <w:sz w:val="24"/>
          <w:szCs w:val="24"/>
          <w:highlight w:val="none"/>
          <w:lang w:val="en-US" w:eastAsia="zh-CN" w:bidi="ar-SA"/>
        </w:rPr>
        <w:t>3.</w:t>
      </w:r>
      <w:r>
        <w:rPr>
          <w:rFonts w:hint="eastAsia" w:ascii="宋体" w:hAnsi="宋体"/>
          <w:color w:val="auto"/>
          <w:kern w:val="0"/>
          <w:sz w:val="24"/>
          <w:highlight w:val="none"/>
        </w:rPr>
        <w:t>响应文件报价应是竞争性谈判文件和其他相关资料确定的全部工作内容的价格体现。</w:t>
      </w:r>
    </w:p>
    <w:p w14:paraId="753B91CA">
      <w:pPr>
        <w:widowControl/>
        <w:numPr>
          <w:ilvl w:val="0"/>
          <w:numId w:val="0"/>
        </w:numPr>
        <w:shd w:val="clear"/>
        <w:spacing w:line="500" w:lineRule="exact"/>
        <w:ind w:left="0" w:leftChars="0" w:firstLine="480" w:firstLineChars="0"/>
        <w:rPr>
          <w:rFonts w:hint="eastAsia" w:ascii="宋体" w:hAnsi="宋体"/>
          <w:color w:val="auto"/>
          <w:kern w:val="0"/>
          <w:sz w:val="24"/>
          <w:highlight w:val="none"/>
        </w:rPr>
      </w:pPr>
      <w:r>
        <w:rPr>
          <w:rFonts w:hint="default" w:ascii="宋体" w:hAnsi="宋体" w:eastAsia="宋体" w:cs="Times New Roman"/>
          <w:i w:val="0"/>
          <w:iCs w:val="0"/>
          <w:color w:val="auto"/>
          <w:kern w:val="0"/>
          <w:sz w:val="24"/>
          <w:szCs w:val="24"/>
          <w:highlight w:val="none"/>
          <w:lang w:val="en-US" w:eastAsia="zh-CN" w:bidi="ar-SA"/>
        </w:rPr>
        <w:t>4.</w:t>
      </w:r>
      <w:r>
        <w:rPr>
          <w:rFonts w:hint="eastAsia" w:ascii="宋体" w:hAnsi="宋体"/>
          <w:color w:val="auto"/>
          <w:kern w:val="0"/>
          <w:sz w:val="24"/>
          <w:highlight w:val="none"/>
        </w:rPr>
        <w:t>供应商的响应文件应实质性响应竞争性谈判文件要求。</w:t>
      </w:r>
    </w:p>
    <w:p w14:paraId="0954F4D6">
      <w:pPr>
        <w:widowControl/>
        <w:numPr>
          <w:ilvl w:val="0"/>
          <w:numId w:val="0"/>
        </w:numPr>
        <w:shd w:val="clear"/>
        <w:spacing w:line="500" w:lineRule="exact"/>
        <w:ind w:left="0" w:leftChars="0" w:firstLine="480" w:firstLineChars="0"/>
        <w:rPr>
          <w:rFonts w:hint="eastAsia" w:ascii="宋体" w:hAnsi="宋体"/>
          <w:color w:val="auto"/>
          <w:kern w:val="0"/>
          <w:sz w:val="24"/>
          <w:highlight w:val="none"/>
        </w:rPr>
      </w:pPr>
      <w:r>
        <w:rPr>
          <w:rFonts w:hint="default" w:ascii="宋体" w:hAnsi="宋体" w:eastAsia="宋体" w:cs="Times New Roman"/>
          <w:i w:val="0"/>
          <w:iCs w:val="0"/>
          <w:color w:val="auto"/>
          <w:kern w:val="0"/>
          <w:sz w:val="24"/>
          <w:szCs w:val="24"/>
          <w:highlight w:val="none"/>
          <w:lang w:val="en-US" w:eastAsia="zh-CN" w:bidi="ar-SA"/>
        </w:rPr>
        <w:t>5.</w:t>
      </w:r>
      <w:r>
        <w:rPr>
          <w:rFonts w:hint="eastAsia" w:ascii="宋体" w:hAnsi="宋体"/>
          <w:color w:val="auto"/>
          <w:kern w:val="0"/>
          <w:sz w:val="24"/>
          <w:highlight w:val="none"/>
        </w:rPr>
        <w:t>响应文件递交截止时间之后，任何人不得更改响应文件。</w:t>
      </w:r>
    </w:p>
    <w:p w14:paraId="1B41725D">
      <w:pPr>
        <w:widowControl/>
        <w:numPr>
          <w:ilvl w:val="0"/>
          <w:numId w:val="0"/>
        </w:numPr>
        <w:shd w:val="clear"/>
        <w:spacing w:line="500" w:lineRule="exact"/>
        <w:ind w:left="0" w:leftChars="0" w:firstLine="480" w:firstLineChars="0"/>
        <w:rPr>
          <w:rFonts w:hint="eastAsia" w:ascii="宋体" w:hAnsi="宋体"/>
          <w:color w:val="auto"/>
          <w:kern w:val="0"/>
          <w:sz w:val="24"/>
          <w:highlight w:val="none"/>
        </w:rPr>
      </w:pPr>
      <w:r>
        <w:rPr>
          <w:rFonts w:hint="default" w:ascii="宋体" w:hAnsi="宋体" w:eastAsia="宋体" w:cs="Times New Roman"/>
          <w:i w:val="0"/>
          <w:iCs w:val="0"/>
          <w:color w:val="auto"/>
          <w:kern w:val="0"/>
          <w:sz w:val="24"/>
          <w:szCs w:val="24"/>
          <w:highlight w:val="none"/>
          <w:lang w:val="en-US" w:eastAsia="zh-CN" w:bidi="ar-SA"/>
        </w:rPr>
        <w:t>6.</w:t>
      </w:r>
      <w:r>
        <w:rPr>
          <w:rFonts w:hint="eastAsia" w:ascii="宋体" w:hAnsi="宋体"/>
          <w:color w:val="auto"/>
          <w:kern w:val="0"/>
          <w:sz w:val="24"/>
          <w:highlight w:val="none"/>
        </w:rPr>
        <w:t>如有疑问，请与采购人或采购代理机构联系。</w:t>
      </w:r>
    </w:p>
    <w:p w14:paraId="38CD0B3D">
      <w:pPr>
        <w:widowControl/>
        <w:numPr>
          <w:ilvl w:val="0"/>
          <w:numId w:val="0"/>
        </w:numPr>
        <w:shd w:val="clear"/>
        <w:spacing w:line="500" w:lineRule="exact"/>
        <w:ind w:left="0" w:leftChars="0" w:firstLine="480" w:firstLineChars="0"/>
        <w:rPr>
          <w:rFonts w:hint="eastAsia" w:ascii="宋体" w:hAnsi="宋体"/>
          <w:color w:val="auto"/>
          <w:kern w:val="0"/>
          <w:sz w:val="24"/>
          <w:highlight w:val="none"/>
        </w:rPr>
      </w:pPr>
      <w:r>
        <w:rPr>
          <w:rFonts w:hint="default" w:ascii="宋体" w:hAnsi="宋体" w:eastAsia="宋体" w:cs="Times New Roman"/>
          <w:i w:val="0"/>
          <w:iCs w:val="0"/>
          <w:color w:val="auto"/>
          <w:kern w:val="0"/>
          <w:sz w:val="24"/>
          <w:szCs w:val="24"/>
          <w:highlight w:val="none"/>
          <w:lang w:val="en-US" w:eastAsia="zh-CN" w:bidi="ar-SA"/>
        </w:rPr>
        <w:t>7.</w:t>
      </w:r>
      <w:r>
        <w:rPr>
          <w:rFonts w:hint="eastAsia" w:ascii="宋体" w:hAnsi="宋体"/>
          <w:color w:val="auto"/>
          <w:kern w:val="0"/>
          <w:sz w:val="24"/>
          <w:highlight w:val="none"/>
        </w:rPr>
        <w:t>合同由成交人与</w:t>
      </w:r>
      <w:r>
        <w:rPr>
          <w:rFonts w:hint="eastAsia" w:ascii="宋体" w:hAnsi="宋体"/>
          <w:color w:val="auto"/>
          <w:kern w:val="0"/>
          <w:sz w:val="24"/>
          <w:highlight w:val="none"/>
          <w:lang w:eastAsia="zh-CN"/>
        </w:rPr>
        <w:t>博爱县人民医院</w:t>
      </w:r>
      <w:r>
        <w:rPr>
          <w:rFonts w:hint="eastAsia" w:ascii="宋体" w:hAnsi="宋体"/>
          <w:color w:val="auto"/>
          <w:kern w:val="0"/>
          <w:sz w:val="24"/>
          <w:highlight w:val="none"/>
        </w:rPr>
        <w:t>签订。</w:t>
      </w:r>
    </w:p>
    <w:p w14:paraId="2D34F881">
      <w:pPr>
        <w:widowControl/>
        <w:numPr>
          <w:ilvl w:val="0"/>
          <w:numId w:val="0"/>
        </w:numPr>
        <w:shd w:val="clear"/>
        <w:spacing w:line="500" w:lineRule="exact"/>
        <w:ind w:left="0" w:leftChars="0" w:firstLine="480" w:firstLineChars="0"/>
        <w:rPr>
          <w:rFonts w:hint="eastAsia" w:ascii="宋体" w:hAnsi="宋体"/>
          <w:color w:val="auto"/>
          <w:kern w:val="0"/>
          <w:sz w:val="24"/>
          <w:highlight w:val="none"/>
        </w:rPr>
      </w:pPr>
      <w:r>
        <w:rPr>
          <w:rFonts w:hint="default" w:ascii="宋体" w:hAnsi="宋体" w:eastAsia="宋体" w:cs="Times New Roman"/>
          <w:i w:val="0"/>
          <w:iCs w:val="0"/>
          <w:color w:val="auto"/>
          <w:kern w:val="0"/>
          <w:sz w:val="24"/>
          <w:szCs w:val="24"/>
          <w:highlight w:val="none"/>
          <w:lang w:val="en-US" w:eastAsia="zh-CN" w:bidi="ar-SA"/>
        </w:rPr>
        <w:t>8</w:t>
      </w:r>
      <w:r>
        <w:rPr>
          <w:rFonts w:hint="default" w:ascii="宋体" w:hAnsi="宋体"/>
          <w:color w:val="auto"/>
          <w:kern w:val="0"/>
          <w:sz w:val="24"/>
          <w:highlight w:val="none"/>
          <w:lang w:val="en-US" w:eastAsia="zh-CN"/>
        </w:rPr>
        <w:t>.</w:t>
      </w:r>
      <w:r>
        <w:rPr>
          <w:rFonts w:hint="eastAsia" w:ascii="宋体" w:hAnsi="宋体"/>
          <w:color w:val="auto"/>
          <w:kern w:val="0"/>
          <w:sz w:val="24"/>
          <w:highlight w:val="none"/>
        </w:rPr>
        <w:t>成交人不得转包项目，否则一经发现，采购人有权另行选择其它单位。</w:t>
      </w:r>
    </w:p>
    <w:p w14:paraId="5CB4E9CD">
      <w:pPr>
        <w:widowControl/>
        <w:numPr>
          <w:ilvl w:val="0"/>
          <w:numId w:val="0"/>
        </w:numPr>
        <w:shd w:val="clear"/>
        <w:spacing w:line="500" w:lineRule="exact"/>
        <w:ind w:left="0" w:leftChars="0" w:firstLine="480" w:firstLineChars="0"/>
        <w:rPr>
          <w:rFonts w:hint="eastAsia" w:ascii="宋体" w:hAnsi="宋体" w:eastAsia="宋体" w:cs="宋体"/>
          <w:color w:val="auto"/>
          <w:sz w:val="24"/>
          <w:szCs w:val="24"/>
          <w:highlight w:val="none"/>
          <w:lang w:eastAsia="zh-CN"/>
        </w:rPr>
      </w:pPr>
      <w:r>
        <w:rPr>
          <w:rFonts w:hint="default" w:ascii="宋体" w:hAnsi="宋体"/>
          <w:color w:val="auto"/>
          <w:kern w:val="0"/>
          <w:sz w:val="24"/>
          <w:highlight w:val="none"/>
          <w:lang w:val="en-US" w:eastAsia="zh-CN"/>
        </w:rPr>
        <w:t>9.</w:t>
      </w:r>
      <w:r>
        <w:rPr>
          <w:rFonts w:hint="eastAsia" w:ascii="宋体" w:hAnsi="宋体"/>
          <w:color w:val="auto"/>
          <w:kern w:val="0"/>
          <w:sz w:val="24"/>
          <w:highlight w:val="none"/>
        </w:rPr>
        <w:t>付款方式：全部供货安装结束，该项目经过国家认可的第三方质量检测机构验收和检验合格后，支付合同总额的100%</w:t>
      </w:r>
      <w:r>
        <w:rPr>
          <w:rFonts w:hint="eastAsia" w:ascii="宋体" w:hAnsi="宋体"/>
          <w:color w:val="auto"/>
          <w:kern w:val="0"/>
          <w:sz w:val="24"/>
          <w:highlight w:val="none"/>
          <w:lang w:eastAsia="zh-CN"/>
        </w:rPr>
        <w:t>。</w:t>
      </w:r>
    </w:p>
    <w:p w14:paraId="5DB7606F">
      <w:pPr>
        <w:widowControl/>
        <w:numPr>
          <w:ilvl w:val="0"/>
          <w:numId w:val="0"/>
        </w:numPr>
        <w:shd w:val="clear"/>
        <w:spacing w:line="500" w:lineRule="exact"/>
        <w:ind w:left="0" w:leftChars="0" w:firstLine="480" w:firstLineChars="0"/>
        <w:rPr>
          <w:rFonts w:hint="eastAsia" w:ascii="宋体" w:hAnsi="宋体"/>
          <w:color w:val="auto"/>
          <w:kern w:val="0"/>
          <w:sz w:val="24"/>
          <w:highlight w:val="none"/>
        </w:rPr>
      </w:pPr>
      <w:r>
        <w:rPr>
          <w:rFonts w:hint="default" w:ascii="宋体" w:hAnsi="宋体"/>
          <w:color w:val="auto"/>
          <w:kern w:val="0"/>
          <w:sz w:val="24"/>
          <w:highlight w:val="none"/>
          <w:lang w:val="en-US" w:eastAsia="zh-CN"/>
        </w:rPr>
        <w:t>10.</w:t>
      </w:r>
      <w:r>
        <w:rPr>
          <w:rFonts w:hint="eastAsia" w:ascii="宋体" w:hAnsi="宋体"/>
          <w:color w:val="auto"/>
          <w:kern w:val="0"/>
          <w:sz w:val="24"/>
          <w:highlight w:val="none"/>
        </w:rPr>
        <w:t>质量要求：合格，符合国家</w:t>
      </w:r>
      <w:r>
        <w:rPr>
          <w:rFonts w:hint="eastAsia" w:ascii="宋体" w:hAnsi="宋体"/>
          <w:color w:val="auto"/>
          <w:kern w:val="0"/>
          <w:sz w:val="24"/>
          <w:highlight w:val="none"/>
          <w:lang w:val="en-US" w:eastAsia="zh-CN"/>
        </w:rPr>
        <w:t>及</w:t>
      </w:r>
      <w:r>
        <w:rPr>
          <w:rFonts w:hint="eastAsia" w:ascii="宋体" w:hAnsi="宋体"/>
          <w:color w:val="auto"/>
          <w:kern w:val="0"/>
          <w:sz w:val="24"/>
          <w:highlight w:val="none"/>
        </w:rPr>
        <w:t>行业规范标准。</w:t>
      </w:r>
    </w:p>
    <w:p w14:paraId="77D34423">
      <w:pPr>
        <w:widowControl/>
        <w:numPr>
          <w:ilvl w:val="0"/>
          <w:numId w:val="0"/>
        </w:numPr>
        <w:shd w:val="clear"/>
        <w:spacing w:line="500" w:lineRule="exact"/>
        <w:ind w:left="0" w:leftChars="0" w:firstLine="480" w:firstLineChars="0"/>
        <w:rPr>
          <w:rFonts w:hint="eastAsia" w:ascii="宋体" w:hAnsi="宋体"/>
          <w:color w:val="auto"/>
          <w:kern w:val="0"/>
          <w:sz w:val="24"/>
          <w:highlight w:val="none"/>
          <w:lang w:val="en-US" w:eastAsia="zh-CN"/>
        </w:rPr>
      </w:pPr>
      <w:bookmarkStart w:id="10" w:name="_Toc31607"/>
      <w:bookmarkStart w:id="11" w:name="_Toc533668869"/>
      <w:bookmarkStart w:id="12" w:name="_Toc27926"/>
      <w:r>
        <w:rPr>
          <w:rFonts w:hint="eastAsia" w:ascii="宋体" w:hAnsi="宋体"/>
          <w:color w:val="auto"/>
          <w:kern w:val="0"/>
          <w:sz w:val="24"/>
          <w:highlight w:val="none"/>
          <w:lang w:val="en-US" w:eastAsia="zh-CN"/>
        </w:rPr>
        <w:t>11</w:t>
      </w:r>
      <w:r>
        <w:rPr>
          <w:rFonts w:hint="default" w:ascii="宋体" w:hAnsi="宋体"/>
          <w:color w:val="auto"/>
          <w:kern w:val="0"/>
          <w:sz w:val="24"/>
          <w:highlight w:val="none"/>
          <w:lang w:val="en-US" w:eastAsia="zh-CN"/>
        </w:rPr>
        <w:t>.</w:t>
      </w:r>
      <w:r>
        <w:rPr>
          <w:rFonts w:hint="eastAsia" w:ascii="宋体" w:hAnsi="宋体"/>
          <w:color w:val="auto"/>
          <w:kern w:val="0"/>
          <w:sz w:val="24"/>
          <w:highlight w:val="none"/>
          <w:lang w:eastAsia="zh-CN"/>
        </w:rPr>
        <w:t>质保期：</w:t>
      </w:r>
      <w:r>
        <w:rPr>
          <w:rFonts w:hint="eastAsia" w:ascii="宋体" w:hAnsi="宋体"/>
          <w:color w:val="auto"/>
          <w:kern w:val="0"/>
          <w:sz w:val="24"/>
          <w:highlight w:val="none"/>
          <w:lang w:val="en-US" w:eastAsia="zh-CN"/>
        </w:rPr>
        <w:t>3年。</w:t>
      </w:r>
    </w:p>
    <w:p w14:paraId="61639F17">
      <w:pPr>
        <w:widowControl/>
        <w:numPr>
          <w:ilvl w:val="0"/>
          <w:numId w:val="0"/>
        </w:numPr>
        <w:shd w:val="clear"/>
        <w:spacing w:line="500" w:lineRule="exact"/>
        <w:ind w:left="0" w:leftChars="0" w:firstLine="480" w:firstLineChars="0"/>
        <w:rPr>
          <w:rFonts w:hint="default" w:ascii="宋体" w:hAnsi="宋体"/>
          <w:color w:val="auto"/>
          <w:kern w:val="0"/>
          <w:sz w:val="24"/>
          <w:highlight w:val="none"/>
          <w:lang w:val="en-US" w:eastAsia="zh-CN"/>
        </w:rPr>
      </w:pPr>
      <w:r>
        <w:rPr>
          <w:rFonts w:hint="eastAsia" w:ascii="宋体" w:hAnsi="宋体"/>
          <w:color w:val="auto"/>
          <w:kern w:val="0"/>
          <w:sz w:val="24"/>
          <w:highlight w:val="none"/>
          <w:lang w:val="en-US" w:eastAsia="zh-CN"/>
        </w:rPr>
        <w:t>12.供货安装期：</w:t>
      </w:r>
      <w:r>
        <w:rPr>
          <w:rFonts w:hint="eastAsia" w:ascii="宋体" w:hAnsi="宋体"/>
          <w:color w:val="auto"/>
          <w:kern w:val="0"/>
          <w:sz w:val="24"/>
          <w:highlight w:val="none"/>
          <w:lang w:eastAsia="zh-CN"/>
        </w:rPr>
        <w:t>自合同签订之日起</w:t>
      </w:r>
      <w:r>
        <w:rPr>
          <w:rFonts w:hint="eastAsia" w:ascii="宋体" w:hAnsi="宋体"/>
          <w:color w:val="auto"/>
          <w:kern w:val="0"/>
          <w:sz w:val="24"/>
          <w:highlight w:val="none"/>
          <w:lang w:val="en-US" w:eastAsia="zh-CN"/>
        </w:rPr>
        <w:t>20</w:t>
      </w:r>
      <w:r>
        <w:rPr>
          <w:rFonts w:hint="eastAsia" w:ascii="宋体" w:hAnsi="宋体"/>
          <w:color w:val="auto"/>
          <w:kern w:val="0"/>
          <w:sz w:val="24"/>
          <w:highlight w:val="none"/>
          <w:lang w:eastAsia="zh-CN"/>
        </w:rPr>
        <w:t>日历天。</w:t>
      </w:r>
    </w:p>
    <w:p w14:paraId="208C9BFC">
      <w:pPr>
        <w:widowControl/>
        <w:numPr>
          <w:ilvl w:val="0"/>
          <w:numId w:val="0"/>
        </w:numPr>
        <w:shd w:val="clear"/>
        <w:spacing w:line="500" w:lineRule="exact"/>
        <w:ind w:left="0" w:leftChars="0" w:firstLine="480" w:firstLineChars="0"/>
        <w:rPr>
          <w:rFonts w:hint="eastAsia" w:ascii="宋体" w:hAnsi="宋体"/>
          <w:color w:val="auto"/>
          <w:kern w:val="0"/>
          <w:sz w:val="24"/>
          <w:highlight w:val="none"/>
        </w:rPr>
      </w:pPr>
      <w:r>
        <w:rPr>
          <w:rFonts w:hint="eastAsia" w:ascii="宋体" w:hAnsi="宋体"/>
          <w:color w:val="auto"/>
          <w:kern w:val="0"/>
          <w:sz w:val="24"/>
          <w:highlight w:val="none"/>
          <w:lang w:val="en-US" w:eastAsia="zh-CN"/>
        </w:rPr>
        <w:t>13</w:t>
      </w:r>
      <w:r>
        <w:rPr>
          <w:rFonts w:hint="default" w:ascii="宋体" w:hAnsi="宋体"/>
          <w:color w:val="auto"/>
          <w:kern w:val="0"/>
          <w:sz w:val="24"/>
          <w:highlight w:val="none"/>
          <w:lang w:val="en-US" w:eastAsia="zh-CN"/>
        </w:rPr>
        <w:t>.</w:t>
      </w:r>
      <w:r>
        <w:rPr>
          <w:rFonts w:hint="eastAsia" w:ascii="宋体" w:hAnsi="宋体"/>
          <w:color w:val="auto"/>
          <w:kern w:val="0"/>
          <w:sz w:val="24"/>
          <w:highlight w:val="none"/>
          <w:lang w:val="en-US" w:eastAsia="zh-CN"/>
        </w:rPr>
        <w:t>合同履行期限</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同供货安装期</w:t>
      </w:r>
      <w:r>
        <w:rPr>
          <w:rFonts w:hint="eastAsia" w:ascii="宋体" w:hAnsi="宋体"/>
          <w:color w:val="auto"/>
          <w:kern w:val="0"/>
          <w:sz w:val="24"/>
          <w:highlight w:val="none"/>
        </w:rPr>
        <w:t>。</w:t>
      </w:r>
    </w:p>
    <w:p w14:paraId="24A1F5A5">
      <w:pPr>
        <w:shd w:val="clear"/>
        <w:rPr>
          <w:color w:val="auto"/>
          <w:highlight w:val="none"/>
        </w:rPr>
      </w:pPr>
    </w:p>
    <w:p w14:paraId="3BB2B421">
      <w:pPr>
        <w:pStyle w:val="3"/>
        <w:shd w:val="clear"/>
        <w:rPr>
          <w:color w:val="auto"/>
          <w:highlight w:val="none"/>
        </w:rPr>
      </w:pPr>
    </w:p>
    <w:p w14:paraId="51B526C3">
      <w:pPr>
        <w:shd w:val="clear"/>
        <w:rPr>
          <w:color w:val="auto"/>
          <w:highlight w:val="none"/>
        </w:rPr>
      </w:pPr>
    </w:p>
    <w:p w14:paraId="2D9CD956">
      <w:pPr>
        <w:pStyle w:val="3"/>
        <w:shd w:val="clear"/>
        <w:rPr>
          <w:color w:val="auto"/>
          <w:highlight w:val="none"/>
        </w:rPr>
      </w:pPr>
    </w:p>
    <w:p w14:paraId="754A918E">
      <w:pPr>
        <w:shd w:val="clear"/>
        <w:rPr>
          <w:color w:val="auto"/>
          <w:highlight w:val="none"/>
        </w:rPr>
      </w:pPr>
    </w:p>
    <w:p w14:paraId="48BEE235">
      <w:pPr>
        <w:pStyle w:val="21"/>
        <w:shd w:val="clear"/>
        <w:rPr>
          <w:color w:val="auto"/>
          <w:highlight w:val="none"/>
        </w:rPr>
      </w:pPr>
    </w:p>
    <w:p w14:paraId="5DF8DB33">
      <w:pPr>
        <w:shd w:val="clear"/>
        <w:rPr>
          <w:color w:val="auto"/>
          <w:highlight w:val="none"/>
        </w:rPr>
      </w:pPr>
    </w:p>
    <w:p w14:paraId="2EFE2C77">
      <w:pPr>
        <w:pStyle w:val="21"/>
        <w:shd w:val="clear"/>
        <w:rPr>
          <w:color w:val="auto"/>
          <w:highlight w:val="none"/>
        </w:rPr>
      </w:pPr>
    </w:p>
    <w:p w14:paraId="67FC8B26">
      <w:pPr>
        <w:shd w:val="clear"/>
        <w:rPr>
          <w:color w:val="auto"/>
          <w:highlight w:val="none"/>
        </w:rPr>
      </w:pPr>
    </w:p>
    <w:p w14:paraId="5E731A4D">
      <w:pPr>
        <w:pStyle w:val="21"/>
        <w:shd w:val="clear"/>
        <w:rPr>
          <w:color w:val="auto"/>
          <w:highlight w:val="none"/>
        </w:rPr>
      </w:pPr>
    </w:p>
    <w:p w14:paraId="00C4F297">
      <w:pPr>
        <w:shd w:val="clear"/>
        <w:rPr>
          <w:color w:val="auto"/>
          <w:highlight w:val="none"/>
        </w:rPr>
      </w:pPr>
    </w:p>
    <w:p w14:paraId="1E9B2C93">
      <w:pPr>
        <w:pStyle w:val="21"/>
        <w:shd w:val="clear"/>
        <w:rPr>
          <w:color w:val="auto"/>
          <w:highlight w:val="none"/>
        </w:rPr>
      </w:pPr>
    </w:p>
    <w:p w14:paraId="4209D334">
      <w:pPr>
        <w:shd w:val="clear"/>
        <w:rPr>
          <w:color w:val="auto"/>
          <w:highlight w:val="none"/>
        </w:rPr>
      </w:pPr>
    </w:p>
    <w:p w14:paraId="0DF84208">
      <w:pPr>
        <w:pStyle w:val="21"/>
        <w:shd w:val="clear"/>
        <w:rPr>
          <w:color w:val="auto"/>
          <w:highlight w:val="none"/>
        </w:rPr>
      </w:pPr>
    </w:p>
    <w:p w14:paraId="0809D752">
      <w:pPr>
        <w:shd w:val="clear"/>
        <w:rPr>
          <w:color w:val="auto"/>
          <w:highlight w:val="none"/>
        </w:rPr>
      </w:pPr>
    </w:p>
    <w:p w14:paraId="7C9610EB">
      <w:pPr>
        <w:pStyle w:val="21"/>
        <w:shd w:val="clear"/>
        <w:rPr>
          <w:color w:val="auto"/>
          <w:highlight w:val="none"/>
        </w:rPr>
      </w:pPr>
    </w:p>
    <w:p w14:paraId="2414070D">
      <w:pPr>
        <w:shd w:val="clear"/>
        <w:rPr>
          <w:color w:val="auto"/>
          <w:highlight w:val="none"/>
        </w:rPr>
      </w:pPr>
    </w:p>
    <w:p w14:paraId="2F5F44FB">
      <w:pPr>
        <w:shd w:val="clear"/>
        <w:rPr>
          <w:color w:val="auto"/>
          <w:highlight w:val="none"/>
        </w:rPr>
      </w:pPr>
    </w:p>
    <w:p w14:paraId="057ACFF4">
      <w:pPr>
        <w:shd w:val="clear"/>
        <w:rPr>
          <w:color w:val="auto"/>
          <w:highlight w:val="none"/>
        </w:rPr>
      </w:pPr>
    </w:p>
    <w:p w14:paraId="1662FE70">
      <w:pPr>
        <w:shd w:val="clear"/>
        <w:rPr>
          <w:color w:val="auto"/>
          <w:highlight w:val="none"/>
        </w:rPr>
      </w:pPr>
    </w:p>
    <w:p w14:paraId="3B8F080D">
      <w:pPr>
        <w:shd w:val="clear"/>
        <w:rPr>
          <w:color w:val="auto"/>
          <w:highlight w:val="none"/>
        </w:rPr>
      </w:pPr>
    </w:p>
    <w:p w14:paraId="7934BF33">
      <w:pPr>
        <w:pStyle w:val="2"/>
        <w:shd w:val="clear"/>
        <w:spacing w:before="0" w:after="0" w:line="360" w:lineRule="auto"/>
        <w:jc w:val="center"/>
        <w:rPr>
          <w:color w:val="auto"/>
          <w:kern w:val="0"/>
          <w:sz w:val="28"/>
          <w:szCs w:val="28"/>
          <w:highlight w:val="none"/>
        </w:rPr>
      </w:pPr>
      <w:bookmarkStart w:id="13" w:name="_Toc18477"/>
      <w:r>
        <w:rPr>
          <w:rFonts w:hint="eastAsia"/>
          <w:color w:val="auto"/>
          <w:kern w:val="0"/>
          <w:sz w:val="28"/>
          <w:szCs w:val="28"/>
          <w:highlight w:val="none"/>
        </w:rPr>
        <w:t>第二部分 参与采购须知</w:t>
      </w:r>
      <w:bookmarkEnd w:id="10"/>
      <w:bookmarkEnd w:id="11"/>
      <w:bookmarkEnd w:id="12"/>
      <w:bookmarkEnd w:id="13"/>
    </w:p>
    <w:p w14:paraId="7797F79E">
      <w:pPr>
        <w:widowControl/>
        <w:shd w:val="clear"/>
        <w:spacing w:line="500" w:lineRule="exact"/>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一、总则</w:t>
      </w:r>
    </w:p>
    <w:p w14:paraId="1C035E6A">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根据《中华人民共和国政府采购法》以及相关的法律、法规、规章等，按照本文件中预定的评标方式择优选定成交人。</w:t>
      </w:r>
    </w:p>
    <w:p w14:paraId="4849BF48">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本次竞争性谈判已按照有关规定向博爱县财政局采购办备案。</w:t>
      </w:r>
    </w:p>
    <w:p w14:paraId="503BFE87">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维护双方当事人的合法权益，反对不正当竞争。</w:t>
      </w:r>
    </w:p>
    <w:p w14:paraId="28A064ED">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供应商应仔细阅读竞争性谈判文件，一旦参与竞争性谈判，均认为响应该竞争性谈判文件中采购人的有关要求。</w:t>
      </w:r>
    </w:p>
    <w:p w14:paraId="2C4C9072">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 投标费用：供应商在投标过程中所发生的一切费用，不论成交与否，均由供应商自负，采购单位不承担任何责任。</w:t>
      </w:r>
    </w:p>
    <w:p w14:paraId="71F1B45B">
      <w:pPr>
        <w:widowControl/>
        <w:shd w:val="clear"/>
        <w:spacing w:line="500" w:lineRule="exact"/>
        <w:ind w:firstLine="562" w:firstLineChars="200"/>
        <w:jc w:val="center"/>
        <w:rPr>
          <w:rFonts w:hint="eastAsia" w:ascii="宋体" w:hAnsi="宋体" w:cs="宋体"/>
          <w:b/>
          <w:bCs/>
          <w:color w:val="auto"/>
          <w:kern w:val="0"/>
          <w:sz w:val="28"/>
          <w:szCs w:val="28"/>
          <w:highlight w:val="none"/>
        </w:rPr>
      </w:pPr>
    </w:p>
    <w:p w14:paraId="104E2FAC">
      <w:pPr>
        <w:widowControl/>
        <w:shd w:val="clear"/>
        <w:spacing w:line="500" w:lineRule="exact"/>
        <w:ind w:firstLine="562" w:firstLineChars="20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二、采购内容及要求</w:t>
      </w:r>
    </w:p>
    <w:p w14:paraId="22878D30">
      <w:pPr>
        <w:widowControl/>
        <w:shd w:val="clear"/>
        <w:spacing w:line="500" w:lineRule="exact"/>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1. 项目名称：</w:t>
      </w:r>
      <w:r>
        <w:rPr>
          <w:rFonts w:hint="eastAsia" w:ascii="宋体" w:hAnsi="宋体" w:cs="宋体"/>
          <w:color w:val="auto"/>
          <w:kern w:val="0"/>
          <w:sz w:val="24"/>
          <w:highlight w:val="none"/>
          <w:lang w:eastAsia="zh-CN"/>
        </w:rPr>
        <w:t>博爱县人民医院无纸化病案管理系统采购项目</w:t>
      </w:r>
    </w:p>
    <w:p w14:paraId="21F54CBB">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采购内容：</w:t>
      </w:r>
      <w:r>
        <w:rPr>
          <w:rFonts w:hint="eastAsia" w:ascii="宋体" w:hAnsi="宋体" w:cs="宋体"/>
          <w:color w:val="auto"/>
          <w:kern w:val="0"/>
          <w:sz w:val="24"/>
          <w:highlight w:val="none"/>
          <w:lang w:val="en-US" w:eastAsia="zh-CN"/>
        </w:rPr>
        <w:t>采购无纸化病案系统软件等（具体要求详见谈判文件）。</w:t>
      </w:r>
    </w:p>
    <w:p w14:paraId="7F73EB3F">
      <w:pPr>
        <w:widowControl/>
        <w:shd w:val="clear"/>
        <w:spacing w:line="500" w:lineRule="exact"/>
        <w:rPr>
          <w:rFonts w:hint="eastAsia" w:ascii="宋体" w:hAnsi="宋体" w:cs="宋体"/>
          <w:color w:val="auto"/>
          <w:kern w:val="0"/>
          <w:sz w:val="24"/>
          <w:highlight w:val="none"/>
        </w:rPr>
      </w:pPr>
    </w:p>
    <w:p w14:paraId="49B115B2">
      <w:pPr>
        <w:widowControl/>
        <w:shd w:val="clear"/>
        <w:spacing w:line="500" w:lineRule="exact"/>
        <w:ind w:firstLine="562" w:firstLineChars="20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三、采购文件</w:t>
      </w:r>
    </w:p>
    <w:p w14:paraId="299A1D04">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竞争性谈判文件包括本文件和所有按本文件规定发出的补充通知等。</w:t>
      </w:r>
    </w:p>
    <w:p w14:paraId="1857E3A5">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供应商的响应文件应实质上响应竞争性谈判文件的要求，否则，响应文件将被拒绝。</w:t>
      </w:r>
    </w:p>
    <w:p w14:paraId="7EC4E576">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竞争性谈判文件的解释。</w:t>
      </w:r>
    </w:p>
    <w:p w14:paraId="62A3ECBB">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供应商对收到的本项目竞争性谈判文件若有疑问，</w:t>
      </w:r>
      <w:r>
        <w:rPr>
          <w:rFonts w:hint="eastAsia" w:ascii="宋体" w:hAnsi="宋体" w:cs="宋体"/>
          <w:bCs/>
          <w:color w:val="auto"/>
          <w:sz w:val="24"/>
          <w:highlight w:val="none"/>
        </w:rPr>
        <w:t>应以书面形式向</w:t>
      </w:r>
      <w:r>
        <w:rPr>
          <w:rFonts w:hint="eastAsia" w:ascii="宋体" w:hAnsi="宋体" w:cs="宋体"/>
          <w:color w:val="auto"/>
          <w:kern w:val="0"/>
          <w:sz w:val="24"/>
          <w:highlight w:val="none"/>
        </w:rPr>
        <w:t>采购人、采购代理机构提出，采购人和采购代理机构将在提起之日起七个工作日内以书面形式给予答复。</w:t>
      </w:r>
    </w:p>
    <w:p w14:paraId="45BDAE5B">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本竞争性谈判文件的解释权属于</w:t>
      </w:r>
      <w:r>
        <w:rPr>
          <w:rFonts w:hint="eastAsia" w:ascii="宋体" w:hAnsi="宋体" w:cs="宋体"/>
          <w:color w:val="auto"/>
          <w:sz w:val="24"/>
          <w:highlight w:val="none"/>
        </w:rPr>
        <w:t>采购人</w:t>
      </w:r>
      <w:r>
        <w:rPr>
          <w:rFonts w:hint="eastAsia" w:ascii="宋体" w:hAnsi="宋体" w:cs="宋体"/>
          <w:color w:val="auto"/>
          <w:kern w:val="0"/>
          <w:sz w:val="24"/>
          <w:highlight w:val="none"/>
        </w:rPr>
        <w:t>。</w:t>
      </w:r>
    </w:p>
    <w:p w14:paraId="18D6AC88">
      <w:pPr>
        <w:widowControl/>
        <w:shd w:val="clear"/>
        <w:spacing w:line="500" w:lineRule="exact"/>
        <w:ind w:left="420"/>
        <w:rPr>
          <w:rFonts w:hint="eastAsia" w:ascii="宋体" w:hAnsi="宋体" w:cs="宋体"/>
          <w:color w:val="auto"/>
          <w:kern w:val="0"/>
          <w:sz w:val="24"/>
          <w:highlight w:val="none"/>
        </w:rPr>
      </w:pPr>
      <w:r>
        <w:rPr>
          <w:rFonts w:hint="eastAsia" w:ascii="宋体" w:hAnsi="宋体" w:cs="宋体"/>
          <w:color w:val="auto"/>
          <w:kern w:val="0"/>
          <w:sz w:val="24"/>
          <w:highlight w:val="none"/>
        </w:rPr>
        <w:t>4.竞争性谈判文件的修改。</w:t>
      </w:r>
    </w:p>
    <w:p w14:paraId="7EA59E37">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4.1 在竞争性谈判文件发出后，如需对文件进行修改，应在竞争性谈判开始前以补充通知的形式在相关网站发布。</w:t>
      </w:r>
    </w:p>
    <w:p w14:paraId="32B3A8C1">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 竞争性谈判文件、补充通知内容相互矛盾时，以最后发出的通知为准。</w:t>
      </w:r>
    </w:p>
    <w:p w14:paraId="68DD6ACB">
      <w:pPr>
        <w:shd w:val="clear"/>
        <w:jc w:val="center"/>
        <w:rPr>
          <w:rFonts w:hint="eastAsia" w:ascii="宋体" w:hAnsi="宋体" w:cs="宋体"/>
          <w:b/>
          <w:bCs/>
          <w:color w:val="auto"/>
          <w:kern w:val="0"/>
          <w:sz w:val="28"/>
          <w:szCs w:val="28"/>
          <w:highlight w:val="none"/>
        </w:rPr>
      </w:pPr>
    </w:p>
    <w:p w14:paraId="315DC8DC">
      <w:pPr>
        <w:shd w:val="clear"/>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四、采购要求</w:t>
      </w:r>
    </w:p>
    <w:p w14:paraId="75EF641B">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确定成交人后，成交人要按照响应文件中承诺的内容履行合同。</w:t>
      </w:r>
    </w:p>
    <w:p w14:paraId="7BE044E2">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参加竞争性谈判的供应商应按竞争性谈判文件中提供的格式填写响应文件，否则将认为是对该竞争性谈判文件的不响应。</w:t>
      </w:r>
    </w:p>
    <w:p w14:paraId="65BF93A7">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对竞争性谈判文件未作出实质性响应的供应商将被拒绝参与谈判。</w:t>
      </w:r>
    </w:p>
    <w:p w14:paraId="019049C2">
      <w:pPr>
        <w:widowControl/>
        <w:shd w:val="clear"/>
        <w:spacing w:line="500" w:lineRule="exact"/>
        <w:ind w:firstLine="562" w:firstLineChars="20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五、响应文件的编制、递交和修改</w:t>
      </w:r>
    </w:p>
    <w:p w14:paraId="176A5405">
      <w:pPr>
        <w:widowControl/>
        <w:shd w:val="clear"/>
        <w:spacing w:line="50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1. 响应文件的语言及格式</w:t>
      </w:r>
    </w:p>
    <w:p w14:paraId="652614AA">
      <w:pPr>
        <w:widowControl/>
        <w:shd w:val="clear"/>
        <w:spacing w:line="500" w:lineRule="exact"/>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1.1 供应商应按照竞争性谈判文件提供的格式编写响应性文件，但不得缺少或私自更改任何谈判文件要求填写的表格或提交的资料。谈判文件提供格式的可按格式填列，未提供格式的可自行拟定。</w:t>
      </w:r>
    </w:p>
    <w:p w14:paraId="00F3A2BA">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 与报价有关的所有文件必须使用中文（本竞争性谈判文件中有特殊要求的情形除外），供应商必须使用竞争性谈判文件中规定的文件格式。</w:t>
      </w:r>
    </w:p>
    <w:p w14:paraId="1DB67704">
      <w:pPr>
        <w:widowControl/>
        <w:numPr>
          <w:ilvl w:val="0"/>
          <w:numId w:val="0"/>
        </w:numPr>
        <w:shd w:val="clear"/>
        <w:spacing w:line="500" w:lineRule="exact"/>
        <w:ind w:firstLine="482" w:firstLineChars="200"/>
        <w:rPr>
          <w:rFonts w:hint="eastAsia" w:ascii="宋体" w:hAnsi="宋体" w:cs="宋体"/>
          <w:b/>
          <w:bCs/>
          <w:color w:val="auto"/>
          <w:kern w:val="0"/>
          <w:sz w:val="24"/>
          <w:highlight w:val="none"/>
        </w:rPr>
      </w:pPr>
      <w:r>
        <w:rPr>
          <w:rFonts w:hint="eastAsia" w:ascii="宋体" w:hAnsi="宋体"/>
          <w:b/>
          <w:bCs/>
          <w:color w:val="auto"/>
          <w:kern w:val="0"/>
          <w:sz w:val="24"/>
          <w:highlight w:val="none"/>
        </w:rPr>
        <w:t>2. 响应文件的组成</w:t>
      </w:r>
    </w:p>
    <w:p w14:paraId="7C0085D4">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响应文件应主要包括下列部分：</w:t>
      </w:r>
    </w:p>
    <w:p w14:paraId="3B1B1642">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2.1 投标函、投标报价明细表；</w:t>
      </w:r>
    </w:p>
    <w:p w14:paraId="1931A3FE">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2.2 法定代表人身份证明；</w:t>
      </w:r>
    </w:p>
    <w:p w14:paraId="206CFBBA">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2.3 授权人委托书；</w:t>
      </w:r>
    </w:p>
    <w:p w14:paraId="1001C7BE">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2.4 供应商资格证明承诺函；</w:t>
      </w:r>
    </w:p>
    <w:p w14:paraId="2F588E34">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2.5 供应商服务承诺和优惠承诺；</w:t>
      </w:r>
    </w:p>
    <w:p w14:paraId="735433FC">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2.6 供应商所投产品属于当期政府采购清单规定的节能环保产品的证明材料(如有)；</w:t>
      </w:r>
    </w:p>
    <w:p w14:paraId="005B3540">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2.7 投标承诺函；</w:t>
      </w:r>
    </w:p>
    <w:p w14:paraId="46167E8A">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2.8 中小企业声明函</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如有</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68014701">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2.9 残疾人福利性单位声明函（如有）；</w:t>
      </w:r>
    </w:p>
    <w:p w14:paraId="5ECAE381">
      <w:pPr>
        <w:widowControl/>
        <w:shd w:val="clear"/>
        <w:spacing w:line="50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2.10 关于符合本国产品标准的声明函</w:t>
      </w:r>
      <w:r>
        <w:rPr>
          <w:rFonts w:hint="eastAsia" w:ascii="宋体" w:hAnsi="宋体" w:cs="宋体"/>
          <w:color w:val="auto"/>
          <w:kern w:val="0"/>
          <w:sz w:val="24"/>
          <w:highlight w:val="none"/>
          <w:lang w:eastAsia="zh-CN"/>
        </w:rPr>
        <w:t>；</w:t>
      </w:r>
    </w:p>
    <w:p w14:paraId="140DD58C">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2.11</w:t>
      </w:r>
      <w:r>
        <w:rPr>
          <w:rFonts w:hint="eastAsia" w:ascii="宋体" w:hAnsi="宋体" w:cs="宋体"/>
          <w:color w:val="auto"/>
          <w:kern w:val="0"/>
          <w:sz w:val="24"/>
          <w:highlight w:val="none"/>
        </w:rPr>
        <w:t>竞争性谈判文件要求的或供应商认为需要加以说明的其他内容。</w:t>
      </w:r>
    </w:p>
    <w:p w14:paraId="71C609B6">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全套响应文件应无涂改和行间插字，如有修改应在修改处加盖供应商的企业印章（即公章）或企业法定代表人或其委托代理人印章（或签字）。</w:t>
      </w:r>
    </w:p>
    <w:p w14:paraId="556F919D">
      <w:pPr>
        <w:widowControl/>
        <w:shd w:val="clear"/>
        <w:spacing w:line="500" w:lineRule="exact"/>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注：1、符合《政府采购法》第二十二条规定的资格条件，按照采购文件约定提供资格承诺，不再提供资质资料，主要包括供应商在响应文件中无需再提供营业执照、财务状况报告、依法缴纳税收和社会保障资金、具有履行合同所必须的设备和专业技术能力、参加政府采购活动前三年内再经营活动中没有重大违法记录相关证明材料。</w:t>
      </w:r>
    </w:p>
    <w:p w14:paraId="34320FAC">
      <w:pPr>
        <w:widowControl/>
        <w:shd w:val="clear"/>
        <w:spacing w:line="500" w:lineRule="exact"/>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sz w:val="24"/>
          <w:highlight w:val="none"/>
        </w:rPr>
        <w:t>2、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7F9018F1">
      <w:pPr>
        <w:shd w:val="clear"/>
        <w:spacing w:line="500" w:lineRule="exact"/>
        <w:ind w:firstLine="482" w:firstLineChars="200"/>
        <w:rPr>
          <w:rFonts w:hint="eastAsia" w:ascii="宋体" w:hAnsi="宋体" w:cs="宋体"/>
          <w:b/>
          <w:bCs/>
          <w:color w:val="auto"/>
          <w:sz w:val="24"/>
          <w:highlight w:val="none"/>
        </w:rPr>
      </w:pPr>
      <w:bookmarkStart w:id="14" w:name="_Toc274249597"/>
      <w:bookmarkStart w:id="15" w:name="_Toc403122514"/>
      <w:bookmarkStart w:id="16" w:name="_Toc426369503"/>
      <w:bookmarkStart w:id="17" w:name="_Toc279599793"/>
      <w:r>
        <w:rPr>
          <w:rFonts w:hint="eastAsia" w:ascii="宋体" w:hAnsi="宋体" w:cs="宋体"/>
          <w:b/>
          <w:bCs/>
          <w:color w:val="auto"/>
          <w:sz w:val="24"/>
          <w:highlight w:val="none"/>
        </w:rPr>
        <w:t xml:space="preserve">3. </w:t>
      </w:r>
      <w:r>
        <w:rPr>
          <w:rFonts w:hint="eastAsia" w:ascii="宋体" w:hAnsi="宋体" w:cs="宋体"/>
          <w:b/>
          <w:bCs/>
          <w:color w:val="auto"/>
          <w:kern w:val="0"/>
          <w:sz w:val="24"/>
          <w:highlight w:val="none"/>
        </w:rPr>
        <w:t>响应</w:t>
      </w:r>
      <w:r>
        <w:rPr>
          <w:rFonts w:hint="eastAsia" w:ascii="宋体" w:hAnsi="宋体" w:cs="宋体"/>
          <w:b/>
          <w:bCs/>
          <w:color w:val="auto"/>
          <w:sz w:val="24"/>
          <w:highlight w:val="none"/>
        </w:rPr>
        <w:t>文件的编制</w:t>
      </w:r>
      <w:bookmarkEnd w:id="14"/>
      <w:bookmarkEnd w:id="15"/>
      <w:bookmarkEnd w:id="16"/>
      <w:bookmarkEnd w:id="17"/>
    </w:p>
    <w:p w14:paraId="5619BF20">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3.1 响应文件应按竞争性谈判文件中要求使用焦作市公共资源交易系统</w:t>
      </w:r>
      <w:r>
        <w:rPr>
          <w:rFonts w:hint="eastAsia" w:ascii="宋体" w:hAnsi="宋体" w:cs="宋体"/>
          <w:bCs/>
          <w:color w:val="auto"/>
          <w:kern w:val="0"/>
          <w:sz w:val="24"/>
          <w:highlight w:val="none"/>
        </w:rPr>
        <w:t>响应性</w:t>
      </w:r>
      <w:r>
        <w:rPr>
          <w:rFonts w:hint="eastAsia" w:ascii="宋体" w:hAnsi="宋体" w:cs="宋体"/>
          <w:color w:val="auto"/>
          <w:sz w:val="24"/>
          <w:highlight w:val="none"/>
        </w:rPr>
        <w:t xml:space="preserve">文件制作专用工具软件编制。 </w:t>
      </w:r>
    </w:p>
    <w:p w14:paraId="34C605EB">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3.2 响应文件应当对竞争性谈判文件有关</w:t>
      </w:r>
      <w:r>
        <w:rPr>
          <w:rFonts w:hint="eastAsia" w:ascii="宋体" w:hAnsi="宋体" w:cs="Times New Roman"/>
          <w:i w:val="0"/>
          <w:iCs w:val="0"/>
          <w:color w:val="auto"/>
          <w:kern w:val="0"/>
          <w:sz w:val="24"/>
          <w:szCs w:val="24"/>
          <w:highlight w:val="none"/>
          <w:lang w:val="en-US" w:eastAsia="zh-CN" w:bidi="ar-SA"/>
        </w:rPr>
        <w:t>合同履行期限（</w:t>
      </w:r>
      <w:r>
        <w:rPr>
          <w:rFonts w:hint="eastAsia" w:ascii="宋体" w:hAnsi="宋体" w:eastAsia="宋体" w:cs="宋体"/>
          <w:b w:val="0"/>
          <w:bCs/>
          <w:color w:val="auto"/>
          <w:kern w:val="2"/>
          <w:sz w:val="24"/>
          <w:szCs w:val="24"/>
          <w:highlight w:val="none"/>
          <w:lang w:eastAsia="zh-CN"/>
        </w:rPr>
        <w:t>供货安装期</w:t>
      </w:r>
      <w:r>
        <w:rPr>
          <w:rFonts w:hint="eastAsia" w:ascii="宋体" w:hAnsi="宋体" w:cs="Times New Roman"/>
          <w:i w:val="0"/>
          <w:iCs w:val="0"/>
          <w:color w:val="auto"/>
          <w:kern w:val="0"/>
          <w:sz w:val="24"/>
          <w:szCs w:val="24"/>
          <w:highlight w:val="none"/>
          <w:lang w:val="en-US" w:eastAsia="zh-CN" w:bidi="ar-SA"/>
        </w:rPr>
        <w:t>）</w:t>
      </w:r>
      <w:r>
        <w:rPr>
          <w:rFonts w:hint="eastAsia" w:ascii="宋体" w:hAnsi="宋体" w:cs="宋体"/>
          <w:color w:val="auto"/>
          <w:sz w:val="24"/>
          <w:highlight w:val="none"/>
        </w:rPr>
        <w:t>、投标有效期、质量要求、采购要求及服务内容、等实质性内容作出承诺及响应。</w:t>
      </w:r>
    </w:p>
    <w:p w14:paraId="2BDDD34D">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3.3 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w:t>
      </w:r>
      <w:r>
        <w:rPr>
          <w:rFonts w:hint="eastAsia" w:ascii="宋体" w:hAnsi="宋体" w:cs="宋体"/>
          <w:bCs/>
          <w:color w:val="auto"/>
          <w:kern w:val="0"/>
          <w:sz w:val="24"/>
          <w:highlight w:val="none"/>
        </w:rPr>
        <w:t>响应性</w:t>
      </w:r>
      <w:r>
        <w:rPr>
          <w:rFonts w:hint="eastAsia" w:ascii="宋体" w:hAnsi="宋体" w:cs="宋体"/>
          <w:color w:val="auto"/>
          <w:sz w:val="24"/>
          <w:highlight w:val="none"/>
        </w:rPr>
        <w:t>文件制作和上传等。为避免网络拥堵等不可控因素影响投标文件的上传，请提前上传</w:t>
      </w:r>
      <w:r>
        <w:rPr>
          <w:rFonts w:hint="eastAsia" w:ascii="宋体" w:hAnsi="宋体" w:cs="宋体"/>
          <w:bCs/>
          <w:color w:val="auto"/>
          <w:kern w:val="0"/>
          <w:sz w:val="24"/>
          <w:highlight w:val="none"/>
        </w:rPr>
        <w:t>响应性</w:t>
      </w:r>
      <w:r>
        <w:rPr>
          <w:rFonts w:hint="eastAsia" w:ascii="宋体" w:hAnsi="宋体" w:cs="宋体"/>
          <w:color w:val="auto"/>
          <w:sz w:val="24"/>
          <w:highlight w:val="none"/>
        </w:rPr>
        <w:t>文件，按要求解密</w:t>
      </w:r>
      <w:r>
        <w:rPr>
          <w:rFonts w:hint="eastAsia" w:ascii="宋体" w:hAnsi="宋体" w:cs="宋体"/>
          <w:bCs/>
          <w:color w:val="auto"/>
          <w:kern w:val="0"/>
          <w:sz w:val="24"/>
          <w:highlight w:val="none"/>
        </w:rPr>
        <w:t>响应性</w:t>
      </w:r>
      <w:r>
        <w:rPr>
          <w:rFonts w:hint="eastAsia" w:ascii="宋体" w:hAnsi="宋体" w:cs="宋体"/>
          <w:color w:val="auto"/>
          <w:sz w:val="24"/>
          <w:highlight w:val="none"/>
        </w:rPr>
        <w:t>文件。因文件未及时上传导致投标失败的责任由供应商自行承担。</w:t>
      </w:r>
    </w:p>
    <w:p w14:paraId="77FFFD06">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3.4 签字盖章要求：</w:t>
      </w:r>
    </w:p>
    <w:p w14:paraId="329AB708">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3.4.1 要求供应商加盖公章的地方都应加盖供应商单位的CA印章。</w:t>
      </w:r>
    </w:p>
    <w:p w14:paraId="746C7E74">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3.4.2 要求法定代表人签字或盖章的，法定代表人在签字或盖章的地方上传手写签名的扫描件或加盖法定代表人CA印章。</w:t>
      </w:r>
    </w:p>
    <w:p w14:paraId="013C0C19">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3.4.3 要求委托代理人签字或盖章的，委托代理人在签字或盖章的地方上传手写签名的扫描件或加盖委托代理人CA印章。</w:t>
      </w:r>
    </w:p>
    <w:p w14:paraId="77A8DA8B">
      <w:pPr>
        <w:shd w:val="clear"/>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 响应性文件的语言和计量单位</w:t>
      </w:r>
    </w:p>
    <w:p w14:paraId="23D500EF">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4.1 谈判文件以及供应商与采购人、采购代理机构就有关投标事宜的所有来往函电均应使用简体中文书写。</w:t>
      </w:r>
    </w:p>
    <w:p w14:paraId="3D918832">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4.2 关于投标计量单位，谈判文件已有明确规定的，使用响应性文件规定的计量单位；谈判文件没有规定的，应采用中华人民共和国法定计量单位。 </w:t>
      </w:r>
    </w:p>
    <w:p w14:paraId="1322C8EC">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882C8A5">
      <w:pPr>
        <w:widowControl/>
        <w:shd w:val="clea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4.4 本响应性文件所表述的时间均为北京时间。</w:t>
      </w:r>
    </w:p>
    <w:p w14:paraId="0C5843A7">
      <w:pPr>
        <w:pStyle w:val="5"/>
        <w:shd w:val="clear"/>
        <w:spacing w:before="0" w:after="0" w:line="500" w:lineRule="exact"/>
        <w:ind w:firstLine="482" w:firstLineChars="200"/>
        <w:rPr>
          <w:rFonts w:hint="eastAsia" w:ascii="宋体" w:hAnsi="宋体" w:cs="宋体"/>
          <w:bCs w:val="0"/>
          <w:color w:val="auto"/>
          <w:sz w:val="24"/>
          <w:szCs w:val="24"/>
          <w:highlight w:val="none"/>
        </w:rPr>
      </w:pPr>
      <w:r>
        <w:rPr>
          <w:rFonts w:hint="eastAsia" w:ascii="宋体" w:hAnsi="宋体" w:cs="宋体"/>
          <w:bCs w:val="0"/>
          <w:color w:val="auto"/>
          <w:sz w:val="24"/>
          <w:szCs w:val="24"/>
          <w:highlight w:val="none"/>
        </w:rPr>
        <w:t>5. 响应文件的补充与撤回</w:t>
      </w:r>
    </w:p>
    <w:p w14:paraId="31280BC0">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5.1 供应商在投标截止时间前可对其响应性文件进行修改并重新上传或在焦作市电子招投标交易平台上进行撤回投标的操作。</w:t>
      </w:r>
    </w:p>
    <w:p w14:paraId="6857936C">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5.2 供应商在响应文件递交截止时间后不能修改、补充替代或撤回其响应文件。</w:t>
      </w:r>
    </w:p>
    <w:p w14:paraId="68F00C79">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6、响应性文件有下列情形之一的，采购代理机构不予接收。</w:t>
      </w:r>
    </w:p>
    <w:p w14:paraId="5C7C2530">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6.1在响应文件递交截止时间以后递交的响应性文件为无效文件，采购人将不予接收。</w:t>
      </w:r>
    </w:p>
    <w:p w14:paraId="4D083608">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6.2未按竞争性谈判文件要求签章的。</w:t>
      </w:r>
    </w:p>
    <w:p w14:paraId="3CABC284">
      <w:pPr>
        <w:shd w:val="clear"/>
        <w:spacing w:line="500" w:lineRule="exact"/>
        <w:ind w:firstLine="480" w:firstLineChars="200"/>
        <w:rPr>
          <w:rFonts w:hint="eastAsia" w:ascii="宋体" w:hAnsi="宋体" w:cs="宋体"/>
          <w:color w:val="auto"/>
          <w:kern w:val="0"/>
          <w:sz w:val="24"/>
          <w:highlight w:val="none"/>
        </w:rPr>
      </w:pPr>
    </w:p>
    <w:p w14:paraId="02BF8BCD">
      <w:pPr>
        <w:widowControl/>
        <w:shd w:val="clear"/>
        <w:spacing w:line="500" w:lineRule="exact"/>
        <w:ind w:firstLine="562" w:firstLineChars="20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六、投标报价</w:t>
      </w:r>
    </w:p>
    <w:p w14:paraId="0962EABA">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控制价</w:t>
      </w:r>
    </w:p>
    <w:p w14:paraId="53608CB1">
      <w:pPr>
        <w:widowControl/>
        <w:shd w:val="clear"/>
        <w:spacing w:line="460" w:lineRule="exact"/>
        <w:ind w:firstLine="482" w:firstLineChars="200"/>
        <w:jc w:val="left"/>
        <w:rPr>
          <w:rFonts w:hint="eastAsia" w:ascii="宋体" w:hAnsi="宋体" w:eastAsia="宋体" w:cs="宋体"/>
          <w:b/>
          <w:color w:val="auto"/>
          <w:kern w:val="0"/>
          <w:sz w:val="24"/>
          <w:highlight w:val="none"/>
          <w:lang w:val="en-US" w:eastAsia="zh-CN"/>
        </w:rPr>
      </w:pPr>
      <w:r>
        <w:rPr>
          <w:rFonts w:hint="eastAsia" w:ascii="宋体" w:hAnsi="宋体" w:cs="宋体"/>
          <w:b/>
          <w:bCs/>
          <w:color w:val="auto"/>
          <w:kern w:val="0"/>
          <w:sz w:val="24"/>
          <w:highlight w:val="none"/>
          <w:lang w:val="en-US" w:eastAsia="zh-CN"/>
        </w:rPr>
        <w:t>本项目</w:t>
      </w:r>
      <w:r>
        <w:rPr>
          <w:rFonts w:hint="eastAsia" w:ascii="宋体" w:hAnsi="宋体" w:cs="宋体"/>
          <w:b/>
          <w:bCs/>
          <w:color w:val="auto"/>
          <w:kern w:val="0"/>
          <w:sz w:val="24"/>
          <w:highlight w:val="none"/>
        </w:rPr>
        <w:t>预算控制金额</w:t>
      </w:r>
      <w:r>
        <w:rPr>
          <w:rFonts w:hint="eastAsia" w:ascii="宋体" w:hAnsi="宋体" w:cs="宋体"/>
          <w:b/>
          <w:bCs/>
          <w:color w:val="auto"/>
          <w:kern w:val="0"/>
          <w:sz w:val="24"/>
          <w:highlight w:val="none"/>
          <w:lang w:eastAsia="zh-CN"/>
        </w:rPr>
        <w:t>：</w:t>
      </w:r>
      <w:r>
        <w:rPr>
          <w:rFonts w:hint="eastAsia" w:ascii="宋体" w:hAnsi="宋体" w:eastAsia="宋体" w:cs="宋体"/>
          <w:b/>
          <w:color w:val="auto"/>
          <w:kern w:val="0"/>
          <w:sz w:val="24"/>
          <w:highlight w:val="none"/>
          <w:lang w:val="en-US" w:eastAsia="zh-CN"/>
        </w:rPr>
        <w:t>大写：</w:t>
      </w:r>
      <w:r>
        <w:rPr>
          <w:rFonts w:hint="eastAsia" w:ascii="宋体" w:hAnsi="宋体" w:cs="宋体"/>
          <w:b/>
          <w:color w:val="auto"/>
          <w:kern w:val="0"/>
          <w:sz w:val="24"/>
          <w:highlight w:val="none"/>
          <w:lang w:val="en-US" w:eastAsia="zh-CN"/>
        </w:rPr>
        <w:t>玖拾伍万元</w:t>
      </w:r>
      <w:r>
        <w:rPr>
          <w:rFonts w:hint="eastAsia" w:ascii="宋体" w:hAnsi="宋体" w:eastAsia="宋体" w:cs="宋体"/>
          <w:b/>
          <w:color w:val="auto"/>
          <w:kern w:val="0"/>
          <w:sz w:val="24"/>
          <w:highlight w:val="none"/>
          <w:lang w:val="en-US" w:eastAsia="zh-CN"/>
        </w:rPr>
        <w:t>（小写：¥</w:t>
      </w:r>
      <w:r>
        <w:rPr>
          <w:rFonts w:hint="eastAsia" w:ascii="宋体" w:hAnsi="宋体" w:cs="宋体"/>
          <w:b/>
          <w:color w:val="auto"/>
          <w:kern w:val="0"/>
          <w:sz w:val="24"/>
          <w:highlight w:val="none"/>
          <w:lang w:val="en-US" w:eastAsia="zh-CN"/>
        </w:rPr>
        <w:t>950000.00</w:t>
      </w:r>
      <w:r>
        <w:rPr>
          <w:rFonts w:hint="eastAsia" w:ascii="宋体" w:hAnsi="宋体" w:eastAsia="宋体" w:cs="宋体"/>
          <w:b/>
          <w:color w:val="auto"/>
          <w:kern w:val="0"/>
          <w:sz w:val="24"/>
          <w:highlight w:val="none"/>
          <w:lang w:val="en-US" w:eastAsia="zh-CN"/>
        </w:rPr>
        <w:t>元）</w:t>
      </w:r>
      <w:r>
        <w:rPr>
          <w:rFonts w:hint="eastAsia" w:ascii="宋体" w:hAnsi="宋体" w:cs="宋体"/>
          <w:b/>
          <w:color w:val="auto"/>
          <w:kern w:val="0"/>
          <w:sz w:val="24"/>
          <w:highlight w:val="none"/>
          <w:lang w:val="en-US" w:eastAsia="zh-CN"/>
        </w:rPr>
        <w:t>。</w:t>
      </w:r>
    </w:p>
    <w:p w14:paraId="7B6E45FC">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供应商的投标报价高于招标控制价的视为无效报价，其投标予以拒绝。当成交人的投标价高于控制价的95%时，该成交人的成交价按控制价的95%执行。</w:t>
      </w:r>
    </w:p>
    <w:p w14:paraId="507FD60F">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投标报价</w:t>
      </w:r>
    </w:p>
    <w:p w14:paraId="5343E945">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2.1 投标报价应包括竞争性谈判文件确定采购范围的全部工作内容，以及其响应文件编制与递交所涉及的一切费用。供应商以人民币为计量币种报价，并以人民币币种签约、结算。</w:t>
      </w:r>
    </w:p>
    <w:p w14:paraId="6F58E484">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2.2 供应商的投标报价应包括货物本身的费用、包装费、运输费、装卸费、运输过程保险费、安装费、质量保证费、相关的伴随服务费、货物本身已支付或将支付的各种税费以及其它交付使用前的所有费用。</w:t>
      </w:r>
    </w:p>
    <w:p w14:paraId="40437DBC">
      <w:pPr>
        <w:shd w:val="clear"/>
        <w:spacing w:line="500" w:lineRule="exact"/>
        <w:ind w:firstLine="480" w:firstLineChars="200"/>
        <w:rPr>
          <w:rFonts w:hint="eastAsia" w:ascii="宋体" w:hAnsi="宋体" w:cs="宋体"/>
          <w:color w:val="auto"/>
          <w:sz w:val="30"/>
          <w:szCs w:val="30"/>
          <w:highlight w:val="none"/>
        </w:rPr>
      </w:pPr>
      <w:r>
        <w:rPr>
          <w:rFonts w:hint="eastAsia" w:ascii="宋体" w:hAnsi="宋体" w:cs="宋体"/>
          <w:color w:val="auto"/>
          <w:kern w:val="0"/>
          <w:sz w:val="24"/>
          <w:highlight w:val="none"/>
        </w:rPr>
        <w:t xml:space="preserve"> 投标价不是唯一的或不是固定不变的响应文件将被作为非响应性投标而予以拒绝，供应商所报的投标价在投标有效期内是固定不变的，供应商不得以任何理由予以变更。</w:t>
      </w:r>
    </w:p>
    <w:p w14:paraId="783B70C8">
      <w:pPr>
        <w:widowControl/>
        <w:shd w:val="clear"/>
        <w:spacing w:line="500" w:lineRule="exact"/>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七、谈判程序</w:t>
      </w:r>
    </w:p>
    <w:p w14:paraId="1B62A08B">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 采购程序</w:t>
      </w:r>
    </w:p>
    <w:p w14:paraId="31B5BFF3">
      <w:pPr>
        <w:widowControl/>
        <w:shd w:val="clear"/>
        <w:spacing w:line="500" w:lineRule="exact"/>
        <w:ind w:firstLine="480" w:firstLineChars="200"/>
        <w:rPr>
          <w:rFonts w:hint="eastAsia" w:ascii="宋体" w:hAnsi="宋体" w:cs="宋体"/>
          <w:b/>
          <w:bCs/>
          <w:color w:val="auto"/>
          <w:kern w:val="0"/>
          <w:sz w:val="24"/>
          <w:highlight w:val="none"/>
        </w:rPr>
      </w:pPr>
      <w:r>
        <w:rPr>
          <w:rFonts w:hint="eastAsia" w:ascii="宋体" w:hAnsi="宋体" w:cs="宋体"/>
          <w:color w:val="auto"/>
          <w:kern w:val="0"/>
          <w:sz w:val="24"/>
          <w:highlight w:val="none"/>
        </w:rPr>
        <w:t>1.采购人在规定的投标截止时间（开标时间）和投标须知前附表规定的地点公开开标。本项目采用“远程不见面”的开标方式,载明远程开标大厅网址（</w:t>
      </w:r>
      <w:r>
        <w:rPr>
          <w:rFonts w:hint="eastAsia" w:ascii="宋体" w:hAnsi="宋体" w:cs="宋体"/>
          <w:color w:val="auto"/>
          <w:kern w:val="0"/>
          <w:sz w:val="24"/>
          <w:highlight w:val="none"/>
          <w:lang w:eastAsia="zh-CN"/>
        </w:rPr>
        <w:t>https://ggzy.jiaozuo.gov.cn/BidOpeningHall/bidhall/dqhnjz/login.html</w:t>
      </w:r>
      <w:r>
        <w:rPr>
          <w:rFonts w:hint="eastAsia" w:ascii="宋体" w:hAnsi="宋体" w:cs="宋体"/>
          <w:color w:val="auto"/>
          <w:kern w:val="0"/>
          <w:sz w:val="24"/>
          <w:highlight w:val="none"/>
        </w:rPr>
        <w:t>）。供应商无需到现场参加开标会议，无需到达现场提交原件资料。登录远程不见面开标大厅，在线准时参加开标活动。在规定时间内响应性文件未解密的供应商，视为放弃投标。</w:t>
      </w:r>
    </w:p>
    <w:p w14:paraId="2491A3BF">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2.所有</w:t>
      </w:r>
      <w:r>
        <w:rPr>
          <w:rFonts w:hint="eastAsia" w:ascii="宋体" w:hAnsi="宋体" w:cs="宋体"/>
          <w:bCs/>
          <w:color w:val="auto"/>
          <w:kern w:val="0"/>
          <w:sz w:val="24"/>
          <w:highlight w:val="none"/>
        </w:rPr>
        <w:t>响应性</w:t>
      </w:r>
      <w:r>
        <w:rPr>
          <w:rFonts w:hint="eastAsia" w:ascii="宋体" w:hAnsi="宋体" w:cs="宋体"/>
          <w:color w:val="auto"/>
          <w:kern w:val="0"/>
          <w:sz w:val="24"/>
          <w:highlight w:val="none"/>
        </w:rPr>
        <w:t>文件必须在本竞争性谈判文件中规定的</w:t>
      </w:r>
      <w:r>
        <w:rPr>
          <w:rFonts w:hint="eastAsia" w:ascii="宋体" w:hAnsi="宋体" w:cs="宋体"/>
          <w:color w:val="auto"/>
          <w:sz w:val="24"/>
          <w:highlight w:val="none"/>
        </w:rPr>
        <w:t>时间进行签到、文件解密、答疑澄清等</w:t>
      </w:r>
      <w:r>
        <w:rPr>
          <w:rFonts w:hint="eastAsia" w:ascii="宋体" w:hAnsi="宋体" w:cs="宋体"/>
          <w:color w:val="auto"/>
          <w:kern w:val="0"/>
          <w:sz w:val="24"/>
          <w:highlight w:val="none"/>
        </w:rPr>
        <w:t>，不能按时上传、解密者视为自动放弃投标。</w:t>
      </w:r>
    </w:p>
    <w:p w14:paraId="0243A165">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3.供应商不足3家的，不得开标。  </w:t>
      </w:r>
    </w:p>
    <w:p w14:paraId="77934C58">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开标当日采购人、采购代理机构通过“信用中国”（www.creditchina.gov.cn）、中国政府采购网（www.ccgp.gov.cn），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68E4D610">
      <w:pPr>
        <w:shd w:val="clear"/>
        <w:tabs>
          <w:tab w:val="left" w:pos="9127"/>
        </w:tabs>
        <w:spacing w:line="500" w:lineRule="exact"/>
        <w:ind w:right="-53" w:rightChars="-25"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 供应商应准时参加开标会议，不能按时上传、解密者视为自动放弃投标。</w:t>
      </w:r>
    </w:p>
    <w:p w14:paraId="2DF50B97">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 会议由</w:t>
      </w:r>
      <w:r>
        <w:rPr>
          <w:rFonts w:hint="eastAsia" w:ascii="宋体" w:hAnsi="宋体" w:cs="宋体"/>
          <w:color w:val="auto"/>
          <w:kern w:val="0"/>
          <w:sz w:val="24"/>
          <w:highlight w:val="none"/>
          <w:lang w:eastAsia="zh-CN"/>
        </w:rPr>
        <w:t>河南中达豫通项目管理有限公司</w:t>
      </w:r>
      <w:r>
        <w:rPr>
          <w:rFonts w:hint="eastAsia" w:ascii="宋体" w:hAnsi="宋体" w:cs="宋体"/>
          <w:color w:val="auto"/>
          <w:kern w:val="0"/>
          <w:sz w:val="24"/>
          <w:highlight w:val="none"/>
        </w:rPr>
        <w:t>主持：</w:t>
      </w:r>
    </w:p>
    <w:p w14:paraId="2CCA6949">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6.1公布在投标截止时间前递交响应性文件的供应商名称；</w:t>
      </w:r>
    </w:p>
    <w:p w14:paraId="6C35EFA8">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6.2供应商通过电子招标投标交易平台对已递交的电子响应性文件在规定时间内进行解密；</w:t>
      </w:r>
    </w:p>
    <w:p w14:paraId="6C37ED93">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6.3批量导入文件；</w:t>
      </w:r>
    </w:p>
    <w:p w14:paraId="3C45C906">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采购人、监督人等有关人员按具体现场系统情况在开标记录上签字确认；</w:t>
      </w:r>
    </w:p>
    <w:p w14:paraId="5C3DCDEF">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开标结束。</w:t>
      </w:r>
    </w:p>
    <w:p w14:paraId="4A123319">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开标异议</w:t>
      </w:r>
    </w:p>
    <w:p w14:paraId="373F27CA">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供应商对开标有异议的，应当在开标现场提出（</w:t>
      </w:r>
      <w:bookmarkStart w:id="18" w:name="_Toc12998"/>
      <w:r>
        <w:rPr>
          <w:rFonts w:hint="eastAsia" w:ascii="宋体" w:hAnsi="宋体" w:cs="宋体"/>
          <w:color w:val="auto"/>
          <w:kern w:val="0"/>
          <w:sz w:val="24"/>
          <w:highlight w:val="none"/>
        </w:rPr>
        <w:t>语音异议</w:t>
      </w:r>
      <w:bookmarkEnd w:id="18"/>
      <w:r>
        <w:rPr>
          <w:rFonts w:hint="eastAsia" w:ascii="宋体" w:hAnsi="宋体" w:cs="宋体"/>
          <w:color w:val="auto"/>
          <w:kern w:val="0"/>
          <w:sz w:val="24"/>
          <w:highlight w:val="none"/>
        </w:rPr>
        <w:t>、</w:t>
      </w:r>
      <w:bookmarkStart w:id="19" w:name="_Toc20745"/>
      <w:r>
        <w:rPr>
          <w:rFonts w:hint="eastAsia" w:ascii="宋体" w:hAnsi="宋体" w:cs="宋体"/>
          <w:color w:val="auto"/>
          <w:kern w:val="0"/>
          <w:sz w:val="24"/>
          <w:highlight w:val="none"/>
        </w:rPr>
        <w:t>文字异议</w:t>
      </w:r>
      <w:bookmarkEnd w:id="19"/>
      <w:r>
        <w:rPr>
          <w:rFonts w:hint="eastAsia" w:ascii="宋体" w:hAnsi="宋体" w:cs="宋体"/>
          <w:color w:val="auto"/>
          <w:kern w:val="0"/>
          <w:sz w:val="24"/>
          <w:highlight w:val="none"/>
        </w:rPr>
        <w:t>），采购人当场作出答复，并制作记录。</w:t>
      </w:r>
    </w:p>
    <w:p w14:paraId="0CE644D5">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6.8开标异常处理</w:t>
      </w:r>
    </w:p>
    <w:p w14:paraId="78EB47B0">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当出现以下情况时，应对未开标的项目中止电子开标，对原有资料及信息作出妥善保密处理，并在恢复正常后及时安排时间开标：</w:t>
      </w:r>
    </w:p>
    <w:p w14:paraId="752A207F">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6.8.1 系统服务器发生故障，无法访问或无法使用系统；</w:t>
      </w:r>
    </w:p>
    <w:p w14:paraId="6C2DA830">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6.8.2 系统的软件或数据库出现错误，不能进行正常操作；</w:t>
      </w:r>
    </w:p>
    <w:p w14:paraId="2E9A239D">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6.8.3 系统发现有安全漏洞，有潜在的泄密危险；</w:t>
      </w:r>
    </w:p>
    <w:p w14:paraId="6A550058">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6.8.4 出现断电事故且短时间内无法恢复供电；</w:t>
      </w:r>
    </w:p>
    <w:p w14:paraId="59FB26A7">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6.8.5 其他无法保证招投标过程正常进行的情形；</w:t>
      </w:r>
    </w:p>
    <w:p w14:paraId="1306CA15">
      <w:pPr>
        <w:shd w:val="clear"/>
        <w:spacing w:line="500" w:lineRule="exact"/>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6.9合格供应商不足3家的，将不再评标</w:t>
      </w:r>
      <w:r>
        <w:rPr>
          <w:rFonts w:hint="eastAsia" w:ascii="宋体" w:hAnsi="宋体" w:cs="宋体"/>
          <w:color w:val="auto"/>
          <w:kern w:val="0"/>
          <w:sz w:val="24"/>
          <w:highlight w:val="none"/>
          <w:lang w:eastAsia="zh-CN"/>
        </w:rPr>
        <w:t>。</w:t>
      </w:r>
    </w:p>
    <w:p w14:paraId="0683534F">
      <w:pPr>
        <w:numPr>
          <w:ilvl w:val="0"/>
          <w:numId w:val="0"/>
        </w:numPr>
        <w:shd w:val="clear"/>
        <w:spacing w:line="500" w:lineRule="exact"/>
        <w:ind w:firstLine="480" w:firstLineChars="200"/>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7.</w:t>
      </w:r>
      <w:r>
        <w:rPr>
          <w:rFonts w:hint="eastAsia" w:ascii="宋体" w:hAnsi="宋体" w:cs="宋体"/>
          <w:color w:val="auto"/>
          <w:kern w:val="0"/>
          <w:sz w:val="24"/>
          <w:highlight w:val="none"/>
        </w:rPr>
        <w:t>组建谈判小组</w:t>
      </w:r>
    </w:p>
    <w:p w14:paraId="771FC2B5">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7.1采购人根据采购项目的特点依法组建竞争性谈判小组。</w:t>
      </w:r>
    </w:p>
    <w:p w14:paraId="187D7EC3">
      <w:pPr>
        <w:shd w:val="clear"/>
        <w:spacing w:line="5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进入谈判阶段，谈判小组由3人组成。谈判小组由采购人代表和政府采购专家库中随机抽取的评审专家共3人组成</w:t>
      </w:r>
      <w:r>
        <w:rPr>
          <w:rFonts w:hint="eastAsia" w:ascii="宋体" w:hAnsi="宋体" w:cs="宋体"/>
          <w:color w:val="auto"/>
          <w:kern w:val="0"/>
          <w:sz w:val="24"/>
          <w:highlight w:val="none"/>
          <w:lang w:val="en-US" w:eastAsia="zh-CN"/>
        </w:rPr>
        <w:t>.</w:t>
      </w:r>
    </w:p>
    <w:p w14:paraId="2174ACA0">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7.2 谈判小组负责具体的评标事务，并独立履行以下职责：</w:t>
      </w:r>
    </w:p>
    <w:p w14:paraId="140F28EE">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7.2.1审查、评价响应性文件是否符合谈判文件的实质性要求；</w:t>
      </w:r>
    </w:p>
    <w:p w14:paraId="24A1EBC8">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7.2.2要求供应商对响应性文件有关事项作出澄清或者说明；</w:t>
      </w:r>
    </w:p>
    <w:p w14:paraId="72DF2FC5">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7.2.3对响应性文件进行比较和评价；</w:t>
      </w:r>
    </w:p>
    <w:p w14:paraId="773889C8">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7.2.4推荐成交供应商名单；</w:t>
      </w:r>
    </w:p>
    <w:p w14:paraId="4F0AA92E">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7.2.5 向采购人、采购代理机构或者有关部门报告评标中发现的违法行为。</w:t>
      </w:r>
    </w:p>
    <w:p w14:paraId="6709165C">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7.3评标中因谈判小组的缺席、回避或者健康等特殊原因导致谈判小组组成不符合本办法规定的，采购人或者采购代理机构应当依法补足后继续评标。被更换的谈判小组成员所作出的评标意见无效。</w:t>
      </w:r>
    </w:p>
    <w:p w14:paraId="62ABC0A7">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7.4无法及时补足谈判小组成员的，采购人或者采购代理机构应当停止评标活动，封存所有响应性文件和开标、评标资料，依法重新组建谈判小组进行评标。原谈判小组所作出的评标意见无效。</w:t>
      </w:r>
    </w:p>
    <w:p w14:paraId="720AC2D2">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7.5采购人或者采购代理机构应当将变更、重新组建谈判小组的情况予以记录，并随采购文件一并存档。</w:t>
      </w:r>
    </w:p>
    <w:p w14:paraId="21E0F1AB">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7.6谈判小组应当对符合资格的供应商的响应性文件进行资格性审查，以确定其是否满足竞争性谈判文件的实质性要求。</w:t>
      </w:r>
    </w:p>
    <w:p w14:paraId="4DA3FEDE">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7.7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27756B02">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8.符合性审查 </w:t>
      </w:r>
    </w:p>
    <w:p w14:paraId="5E96F5D4">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8.1对资格性检查合格的供应商递交的响应性文件，依据竞争性谈判文件的规定，从响应性文件的有效性、完整性和对谈判文件的响应程度，审查响应性文件是否对谈判文件的实质性要求作出了响应。</w:t>
      </w:r>
    </w:p>
    <w:p w14:paraId="6061B881">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8.2本次招标采用电子化评标，如“焦作市电子招投标交易平台”系统出现故障，导致无法继续评审工作的，可暂停评标，对原有资料及信息作出妥善保密处理，待电子评标系统恢复正常之后组织评审。</w:t>
      </w:r>
    </w:p>
    <w:p w14:paraId="1FF01BAF">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8.3实质性响应的投标是指与谈判文件的全部条款、条件和规格相符，没有重大偏离。</w:t>
      </w:r>
    </w:p>
    <w:p w14:paraId="5962D4DA">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8.4重大偏离是指供应商所投标的范围、质量、服务等明显不能满足招标文件的要求，或者实质上与谈判文件不一致，而且限制了采购人的权利或投标的义务，纠正这些偏离将对其他实质性响应要求的供应商的竞争地位产生不公正的影响。重大偏离的认定须经谈判小组三分之二以上同意。</w:t>
      </w:r>
    </w:p>
    <w:p w14:paraId="3F8C8597">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8.5如果响应性文件实质上没有响应谈判文件的要求，将作为无效投标处理，供应商不得再对响应性文件进行任何修正从而使其投标成为实质上响应的投标。</w:t>
      </w:r>
    </w:p>
    <w:p w14:paraId="0CEDB5E5">
      <w:p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8.6竞争性谈判小组审定响应文件的响应性只根据响应文件本身的内容而不寻求外部证据。</w:t>
      </w:r>
    </w:p>
    <w:p w14:paraId="1667C2F9">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8.7竞争性谈判小组对竞争性谈判响应文件进行审查、质疑、评估和比较。</w:t>
      </w:r>
    </w:p>
    <w:p w14:paraId="25AF8773">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8.8竞争性谈判小组在竞争性谈判文件规定的时间和地点对供应商的响应性文件进行审查，竞争性谈判小组发起二轮报价，通过初步审查的供应商在规定时间内通过不见面开标系统进行二轮报价。</w:t>
      </w:r>
    </w:p>
    <w:p w14:paraId="59EC1B12">
      <w:pPr>
        <w:widowControl/>
        <w:shd w:val="clear"/>
        <w:spacing w:line="50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投标供应商在系统进行第二轮报价时，需以附件方式上传第二轮报价表电子版(PDF格式)，未提供第二轮报价表电子版（PDF）的视为无效标处理。</w:t>
      </w:r>
    </w:p>
    <w:p w14:paraId="51D768A4">
      <w:pPr>
        <w:widowControl/>
        <w:shd w:val="clear"/>
        <w:autoSpaceDE w:val="0"/>
        <w:autoSpaceDN w:val="0"/>
        <w:spacing w:line="360" w:lineRule="auto"/>
        <w:ind w:firstLine="482" w:firstLineChars="200"/>
        <w:rPr>
          <w:rFonts w:hint="eastAsia" w:ascii="宋体" w:hAnsi="宋体" w:cs="宋体"/>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投标供应商的第二轮报价如高于第一轮报价，则该投标供应商的投标价以第一轮报价为准</w:t>
      </w:r>
      <w:r>
        <w:rPr>
          <w:rFonts w:hint="eastAsia" w:ascii="宋体" w:hAnsi="宋体" w:cs="宋体"/>
          <w:b/>
          <w:bCs/>
          <w:color w:val="auto"/>
          <w:kern w:val="0"/>
          <w:sz w:val="24"/>
          <w:highlight w:val="none"/>
        </w:rPr>
        <w:t>。</w:t>
      </w:r>
    </w:p>
    <w:p w14:paraId="4FD63305">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9.根据符合采购需求报价最低，将投标报价按由低到高的顺序进行排序，推荐3名成交候选供应商。</w:t>
      </w:r>
    </w:p>
    <w:p w14:paraId="67701FAE">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10.采购代理机构应当自评审结束之日起2个工作日内将评审报告送交采购人。采购人应当自收到评审报告之日起5个工作日内，在评审报告推荐的成交候选人中按顺序确定成交供应商。</w:t>
      </w:r>
    </w:p>
    <w:p w14:paraId="537C4062">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11.签订合同：</w:t>
      </w:r>
      <w:r>
        <w:rPr>
          <w:rFonts w:hint="eastAsia" w:ascii="宋体" w:hAnsi="宋体" w:cs="宋体"/>
          <w:color w:val="auto"/>
          <w:sz w:val="24"/>
          <w:highlight w:val="none"/>
        </w:rPr>
        <w:t>成交通知书发出之日起15日内， 按照竞争性谈判文件确定的事项签订政府采购合同。采购人与成交人签订政府采购合同。合同中的主要条款要与竞争性谈判文件中的合同条款一致。</w:t>
      </w:r>
    </w:p>
    <w:p w14:paraId="60BED833">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12.合同签订后，采购人要在2个工作日内将采购合同在焦作市政府采购网公示并备案（签订合同时由成交人提供合同样本）；</w:t>
      </w:r>
    </w:p>
    <w:p w14:paraId="14790C40">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13.在谈判期间，供应商不得向竞争性谈判小组成员询问其它供应商谈判情况，不得进行影响成交结果的活动。</w:t>
      </w:r>
    </w:p>
    <w:p w14:paraId="02D7A010">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商私下接触。确定成交人前，凡与谈判情况有接触的任何人不得将谈判情况泄密。</w:t>
      </w:r>
    </w:p>
    <w:p w14:paraId="25242AC1">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采购小组不向未成交方解释原因，不退还响应文件。</w:t>
      </w:r>
    </w:p>
    <w:p w14:paraId="7788F6A5">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（三）采购成交原则</w:t>
      </w:r>
    </w:p>
    <w:p w14:paraId="5C6B0230">
      <w:pPr>
        <w:widowControl/>
        <w:numPr>
          <w:ilvl w:val="0"/>
          <w:numId w:val="2"/>
        </w:numPr>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成交原则和方法</w:t>
      </w:r>
    </w:p>
    <w:p w14:paraId="103FDB29">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1.1 公开、公平、公正</w:t>
      </w:r>
    </w:p>
    <w:p w14:paraId="7CC760B3">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 技术可行，措施得当</w:t>
      </w:r>
    </w:p>
    <w:p w14:paraId="07D5A4B3">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 符合采购需求,价格低者优先成交。在价格同等情况下，依次按质量及服务、提供的优惠条件等进行排序，推荐3名成交候选供应商。</w:t>
      </w:r>
    </w:p>
    <w:p w14:paraId="2A1C0945">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2.竞争性谈判小组对每个参加采购单位的响应文件的实质内容进行比较。</w:t>
      </w:r>
    </w:p>
    <w:p w14:paraId="6C525376">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3.竞争性谈判小组将符合竞争性谈判文件规定的最终有效</w:t>
      </w:r>
      <w:r>
        <w:rPr>
          <w:rFonts w:hint="eastAsia" w:ascii="宋体" w:hAnsi="宋体" w:eastAsia="宋体" w:cs="宋体"/>
          <w:b w:val="0"/>
          <w:color w:val="auto"/>
          <w:kern w:val="2"/>
          <w:sz w:val="24"/>
          <w:szCs w:val="24"/>
          <w:highlight w:val="none"/>
          <w:lang w:val="en-US" w:eastAsia="zh-CN" w:bidi="ar-SA"/>
        </w:rPr>
        <w:t>评标报价</w:t>
      </w:r>
      <w:r>
        <w:rPr>
          <w:rFonts w:hint="eastAsia" w:ascii="宋体" w:hAnsi="宋体" w:cs="宋体"/>
          <w:color w:val="auto"/>
          <w:kern w:val="0"/>
          <w:sz w:val="24"/>
          <w:highlight w:val="none"/>
        </w:rPr>
        <w:t>按由低到高顺序排序，推荐3名成交候选供应商</w:t>
      </w:r>
      <w:r>
        <w:rPr>
          <w:rFonts w:hint="eastAsia" w:ascii="宋体" w:hAnsi="宋体" w:eastAsia="宋体" w:cs="宋体"/>
          <w:b w:val="0"/>
          <w:color w:val="auto"/>
          <w:kern w:val="2"/>
          <w:sz w:val="24"/>
          <w:szCs w:val="24"/>
          <w:highlight w:val="none"/>
          <w:lang w:val="en-US" w:eastAsia="zh-CN" w:bidi="ar-SA"/>
        </w:rPr>
        <w:t>。</w:t>
      </w:r>
    </w:p>
    <w:p w14:paraId="5D72764E">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确定其他成交候选人为成交人。</w:t>
      </w:r>
    </w:p>
    <w:p w14:paraId="0B31797D">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造成的损失，损失费的计算方法为该成交候选人的投标价与重新确定的成交人成交价的差额。</w:t>
      </w:r>
    </w:p>
    <w:p w14:paraId="31E29A42">
      <w:pPr>
        <w:widowControl/>
        <w:shd w:val="clear"/>
        <w:spacing w:line="5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6.</w:t>
      </w:r>
      <w:r>
        <w:rPr>
          <w:rFonts w:hint="eastAsia" w:ascii="宋体" w:hAnsi="宋体" w:eastAsia="宋体" w:cs="宋体"/>
          <w:color w:val="auto"/>
          <w:kern w:val="0"/>
          <w:sz w:val="24"/>
          <w:highlight w:val="none"/>
          <w:lang w:val="en-US" w:eastAsia="zh-CN"/>
        </w:rPr>
        <w:t>对中小型或微型企业投标的扶持：</w:t>
      </w:r>
    </w:p>
    <w:p w14:paraId="11C38BC6">
      <w:pPr>
        <w:widowControl/>
        <w:shd w:val="clear"/>
        <w:spacing w:line="5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6.1投标供应商为小型或微型企业时，报价给予C1的价格扣除（C1的取值为20%），即：评标价＝投标报价（最后报价）×(1－C1）；</w:t>
      </w:r>
    </w:p>
    <w:p w14:paraId="3165018C">
      <w:pPr>
        <w:widowControl/>
        <w:shd w:val="clear"/>
        <w:spacing w:line="5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小微企业应当提供《中小企业声明函》（见格式）。</w:t>
      </w:r>
    </w:p>
    <w:p w14:paraId="537D14A2">
      <w:pPr>
        <w:widowControl/>
        <w:shd w:val="clear"/>
        <w:spacing w:line="5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6.2按照《政府采购促进中小企业发展管理办法》有关规定，中小企业的标准为：</w:t>
      </w:r>
    </w:p>
    <w:p w14:paraId="2EFD74A2">
      <w:pPr>
        <w:widowControl/>
        <w:shd w:val="clear"/>
        <w:spacing w:line="5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6.2.1提供本企业制造的货物、承担的工程或者服务，或者提供其他中小企业制造的货物，不包括提供或使用大型企业注册商标的货物；</w:t>
      </w:r>
    </w:p>
    <w:p w14:paraId="6217BE7B">
      <w:pPr>
        <w:widowControl/>
        <w:shd w:val="clear"/>
        <w:spacing w:line="5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6.2.2本规定所称中小企业划分标准，是指国务院有关部门根据企业从业人员、营业收入、资产总额等指标制定的中小企业划型标准(工信部联企业[2011]300号)；</w:t>
      </w:r>
    </w:p>
    <w:p w14:paraId="7B0292AC">
      <w:pPr>
        <w:widowControl/>
        <w:shd w:val="clear"/>
        <w:spacing w:line="5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6.2.3小型、微型企业提供有中型企业制造的货物的，视同为中型企业；小型、微型、中型企业提供有大型企业制造的货物的，视同为大型企业。</w:t>
      </w:r>
    </w:p>
    <w:p w14:paraId="5C7D323D">
      <w:pPr>
        <w:widowControl/>
        <w:shd w:val="clear"/>
        <w:spacing w:line="50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4577E415">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（四）参加竞争性谈判单位的响应文件有下列情况之一的，视为无效响应文件。</w:t>
      </w:r>
    </w:p>
    <w:p w14:paraId="2375CC21">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未按竞争性谈判文件明示的规定签字或盖章的；</w:t>
      </w:r>
    </w:p>
    <w:p w14:paraId="7924C0F0">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响应文件的关键内容（投标报价、</w:t>
      </w:r>
      <w:r>
        <w:rPr>
          <w:rFonts w:hint="eastAsia" w:ascii="宋体" w:hAnsi="宋体" w:cs="Times New Roman"/>
          <w:i w:val="0"/>
          <w:iCs w:val="0"/>
          <w:color w:val="auto"/>
          <w:kern w:val="0"/>
          <w:sz w:val="24"/>
          <w:szCs w:val="24"/>
          <w:highlight w:val="none"/>
          <w:lang w:val="en-US" w:eastAsia="zh-CN" w:bidi="ar-SA"/>
        </w:rPr>
        <w:t>合同履行期限（供货安装期）</w:t>
      </w:r>
      <w:r>
        <w:rPr>
          <w:rFonts w:hint="eastAsia" w:ascii="宋体" w:hAnsi="宋体" w:cs="宋体"/>
          <w:color w:val="auto"/>
          <w:kern w:val="0"/>
          <w:sz w:val="24"/>
          <w:highlight w:val="none"/>
        </w:rPr>
        <w:t>、质量要求、品牌、型号等）未填写</w:t>
      </w:r>
      <w:r>
        <w:rPr>
          <w:rFonts w:hint="eastAsia" w:ascii="宋体" w:hAnsi="宋体"/>
          <w:color w:val="auto"/>
          <w:kern w:val="0"/>
          <w:sz w:val="24"/>
          <w:highlight w:val="none"/>
        </w:rPr>
        <w:t>或填写字迹模糊、达不到采购要求的</w:t>
      </w:r>
      <w:r>
        <w:rPr>
          <w:rFonts w:hint="eastAsia" w:ascii="宋体" w:hAnsi="宋体" w:cs="宋体"/>
          <w:color w:val="auto"/>
          <w:kern w:val="0"/>
          <w:sz w:val="24"/>
          <w:highlight w:val="none"/>
        </w:rPr>
        <w:t>；</w:t>
      </w:r>
    </w:p>
    <w:p w14:paraId="120AA4D0">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采购报价超出控制价的；</w:t>
      </w:r>
    </w:p>
    <w:p w14:paraId="3D616926">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响应文件中对同一项目有两个或多个报价，且未声明哪一个有效的；</w:t>
      </w:r>
    </w:p>
    <w:p w14:paraId="5D0BA960">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 相关资格证明文件不合格的；</w:t>
      </w:r>
    </w:p>
    <w:p w14:paraId="236DA829">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 响应文件中附有采购人不能接受的条件的；</w:t>
      </w:r>
    </w:p>
    <w:p w14:paraId="40D8F008">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 响应文件有明显不符合竞争性谈判文件其它要求和有关法律法规的；</w:t>
      </w:r>
    </w:p>
    <w:p w14:paraId="5D7D3327">
      <w:pPr>
        <w:widowControl/>
        <w:shd w:val="clear"/>
        <w:spacing w:line="500" w:lineRule="exact"/>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8. 评标过程中，如因两个或两个以上供应商在同一台计算或同一个IP上传响应文件，而被不见面开标系统提示为“投标文件制作机器码一致”的，则视其投标无效；</w:t>
      </w:r>
    </w:p>
    <w:p w14:paraId="27204D9D">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 在评标过程中，竞争性谈判小组发现投标单位的报价明显低于其它采购报价，使得其采购报价可能低于其个别成本的，应当要求该投标单位作出书面说明并提供相关证明材料。投标单位不能合理说明或者不能提供相关证明材料的，由竞争性谈判小组认定该投标单位以低于成本报价竞标，其报价应作废标处理。</w:t>
      </w:r>
    </w:p>
    <w:p w14:paraId="1D4E4FD6">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 在评审过程中，谈判小组发现投标供应商有下列情形之一的，视为相互串通投标，按照无效投标处理并依据法律、法规追究其相关责任。具体表现形式如下：</w:t>
      </w:r>
    </w:p>
    <w:p w14:paraId="60598960">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10.1 不同供应商的响应性文件由同一单位或者个人编制；</w:t>
      </w:r>
    </w:p>
    <w:p w14:paraId="65F81066">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10.2 不同供应商委托同一单位或者个人办理投标事宜；</w:t>
      </w:r>
    </w:p>
    <w:p w14:paraId="789A01CD">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10.3 不同供应商的响应性文件载明的项目管理成员或者联系人员为同一人；</w:t>
      </w:r>
    </w:p>
    <w:p w14:paraId="47441321">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10.4 不同供应商的响应性文件异常一致或者投标报价呈规律性差异；</w:t>
      </w:r>
    </w:p>
    <w:p w14:paraId="199EA3FF">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10.5 不同供应商的响应性文件相互混装；</w:t>
      </w:r>
    </w:p>
    <w:p w14:paraId="76061A4A">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10.6 有证据证明供应商与采购人、采购代理机构或者其他供应商串通的其他情形；</w:t>
      </w:r>
    </w:p>
    <w:p w14:paraId="632B92F9">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（五）授予合同</w:t>
      </w:r>
    </w:p>
    <w:p w14:paraId="19B251AC">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 本合同将授予经过竞争性谈判小组确认的成交单位。</w:t>
      </w:r>
    </w:p>
    <w:p w14:paraId="68F3E695">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 成交人应当自成交通知书发出之日起15日内，按照竞争性谈判文件和成交人的响应文件与采购单位签订合同。</w:t>
      </w:r>
    </w:p>
    <w:p w14:paraId="6FE1DDAF">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 竞争性谈判文件、成交人的竞争性谈判文件及其澄清文件等均为签订合同的依据。</w:t>
      </w:r>
    </w:p>
    <w:p w14:paraId="47027092">
      <w:pPr>
        <w:widowControl/>
        <w:shd w:val="clear"/>
        <w:spacing w:line="50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 合同签订后，成交人应将合同在2个工作日内将合同在焦作市政府采购网公示并备案。</w:t>
      </w:r>
    </w:p>
    <w:p w14:paraId="43A55D64">
      <w:pPr>
        <w:pStyle w:val="10"/>
        <w:shd w:val="clear"/>
        <w:ind w:firstLine="480"/>
        <w:rPr>
          <w:rFonts w:hint="eastAsia" w:ascii="宋体" w:hAnsi="宋体"/>
          <w:color w:val="auto"/>
          <w:kern w:val="0"/>
          <w:sz w:val="24"/>
          <w:highlight w:val="none"/>
        </w:rPr>
      </w:pPr>
    </w:p>
    <w:p w14:paraId="39FCA2B1">
      <w:pPr>
        <w:pStyle w:val="11"/>
        <w:shd w:val="clear"/>
        <w:rPr>
          <w:rFonts w:hint="eastAsia" w:ascii="宋体" w:hAnsi="宋体"/>
          <w:color w:val="auto"/>
          <w:highlight w:val="none"/>
        </w:rPr>
      </w:pPr>
    </w:p>
    <w:p w14:paraId="2BFA2037">
      <w:pPr>
        <w:pStyle w:val="10"/>
        <w:shd w:val="clear"/>
        <w:ind w:firstLine="480"/>
        <w:rPr>
          <w:rFonts w:hint="eastAsia" w:ascii="宋体" w:hAnsi="宋体"/>
          <w:color w:val="auto"/>
          <w:kern w:val="0"/>
          <w:sz w:val="24"/>
          <w:highlight w:val="none"/>
        </w:rPr>
      </w:pPr>
    </w:p>
    <w:p w14:paraId="35B2B57F">
      <w:pPr>
        <w:pStyle w:val="11"/>
        <w:shd w:val="clear"/>
        <w:rPr>
          <w:rFonts w:hint="eastAsia" w:ascii="宋体" w:hAnsi="宋体"/>
          <w:color w:val="auto"/>
          <w:highlight w:val="none"/>
        </w:rPr>
      </w:pPr>
    </w:p>
    <w:p w14:paraId="23E9A8F9">
      <w:pPr>
        <w:pStyle w:val="10"/>
        <w:shd w:val="clear"/>
        <w:ind w:firstLine="480"/>
        <w:rPr>
          <w:rFonts w:hint="eastAsia" w:ascii="宋体" w:hAnsi="宋体"/>
          <w:color w:val="auto"/>
          <w:kern w:val="0"/>
          <w:sz w:val="24"/>
          <w:highlight w:val="none"/>
        </w:rPr>
      </w:pPr>
    </w:p>
    <w:p w14:paraId="56041825">
      <w:pPr>
        <w:pStyle w:val="11"/>
        <w:shd w:val="clear"/>
        <w:rPr>
          <w:color w:val="auto"/>
          <w:highlight w:val="none"/>
        </w:rPr>
      </w:pPr>
    </w:p>
    <w:p w14:paraId="6BCBAC1E">
      <w:pPr>
        <w:shd w:val="clear"/>
        <w:rPr>
          <w:rFonts w:hint="eastAsia"/>
          <w:color w:val="auto"/>
          <w:kern w:val="0"/>
          <w:sz w:val="28"/>
          <w:szCs w:val="28"/>
          <w:highlight w:val="none"/>
        </w:rPr>
      </w:pPr>
      <w:bookmarkStart w:id="20" w:name="_Toc9332"/>
      <w:bookmarkStart w:id="21" w:name="_Toc533668870"/>
      <w:bookmarkStart w:id="22" w:name="_Toc2540"/>
      <w:bookmarkStart w:id="23" w:name="_Toc27037"/>
      <w:r>
        <w:rPr>
          <w:rFonts w:hint="eastAsia"/>
          <w:color w:val="auto"/>
          <w:kern w:val="0"/>
          <w:sz w:val="28"/>
          <w:szCs w:val="28"/>
          <w:highlight w:val="none"/>
        </w:rPr>
        <w:br w:type="page"/>
      </w:r>
    </w:p>
    <w:p w14:paraId="423690D8">
      <w:pPr>
        <w:pStyle w:val="2"/>
        <w:shd w:val="clear"/>
        <w:spacing w:before="0" w:after="0" w:line="360" w:lineRule="auto"/>
        <w:jc w:val="center"/>
        <w:rPr>
          <w:color w:val="auto"/>
          <w:kern w:val="0"/>
          <w:sz w:val="28"/>
          <w:szCs w:val="28"/>
          <w:highlight w:val="none"/>
        </w:rPr>
      </w:pPr>
      <w:r>
        <w:rPr>
          <w:rFonts w:hint="eastAsia"/>
          <w:color w:val="auto"/>
          <w:kern w:val="0"/>
          <w:sz w:val="28"/>
          <w:szCs w:val="28"/>
          <w:highlight w:val="none"/>
        </w:rPr>
        <w:t>第三部分 其他要求</w:t>
      </w:r>
      <w:bookmarkEnd w:id="20"/>
      <w:bookmarkEnd w:id="21"/>
      <w:bookmarkEnd w:id="22"/>
      <w:bookmarkEnd w:id="23"/>
    </w:p>
    <w:p w14:paraId="425F95F2">
      <w:pPr>
        <w:shd w:val="clear"/>
        <w:rPr>
          <w:color w:val="auto"/>
          <w:highlight w:val="none"/>
        </w:rPr>
      </w:pPr>
    </w:p>
    <w:p w14:paraId="680838D5">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供应商如有不清楚的地方可与采购人和代理机构联系。采购报价应包含所有费用。成交人在成交后不得以任何理由增加任何费用。</w:t>
      </w:r>
    </w:p>
    <w:p w14:paraId="1E792E01">
      <w:pPr>
        <w:shd w:val="clear"/>
        <w:rPr>
          <w:color w:val="auto"/>
          <w:highlight w:val="none"/>
        </w:rPr>
      </w:pPr>
    </w:p>
    <w:p w14:paraId="29E6A20C">
      <w:pPr>
        <w:shd w:val="clear"/>
        <w:rPr>
          <w:color w:val="auto"/>
          <w:highlight w:val="none"/>
        </w:rPr>
      </w:pPr>
    </w:p>
    <w:p w14:paraId="0FE37D5B">
      <w:pPr>
        <w:pStyle w:val="10"/>
        <w:shd w:val="clear"/>
        <w:ind w:firstLine="420"/>
        <w:rPr>
          <w:color w:val="auto"/>
          <w:highlight w:val="none"/>
        </w:rPr>
      </w:pPr>
    </w:p>
    <w:p w14:paraId="254CBB1E">
      <w:pPr>
        <w:pStyle w:val="11"/>
        <w:shd w:val="clear"/>
        <w:rPr>
          <w:color w:val="auto"/>
          <w:highlight w:val="none"/>
        </w:rPr>
      </w:pPr>
    </w:p>
    <w:p w14:paraId="0BB32413">
      <w:pPr>
        <w:shd w:val="clear"/>
        <w:rPr>
          <w:color w:val="auto"/>
          <w:highlight w:val="none"/>
        </w:rPr>
      </w:pPr>
    </w:p>
    <w:p w14:paraId="727BACE3">
      <w:pPr>
        <w:pStyle w:val="2"/>
        <w:shd w:val="clear"/>
        <w:spacing w:before="0" w:after="0" w:line="360" w:lineRule="auto"/>
        <w:ind w:left="439" w:leftChars="209" w:firstLine="7509" w:firstLineChars="1700"/>
        <w:rPr>
          <w:color w:val="auto"/>
          <w:highlight w:val="none"/>
        </w:rPr>
      </w:pPr>
      <w:r>
        <w:rPr>
          <w:rFonts w:hint="eastAsia"/>
          <w:color w:val="auto"/>
          <w:highlight w:val="none"/>
        </w:rPr>
        <w:t xml:space="preserve"> </w:t>
      </w:r>
    </w:p>
    <w:p w14:paraId="0DA48551">
      <w:pPr>
        <w:pStyle w:val="2"/>
        <w:shd w:val="clear"/>
        <w:spacing w:before="0" w:after="0" w:line="360" w:lineRule="auto"/>
        <w:jc w:val="center"/>
        <w:rPr>
          <w:color w:val="auto"/>
          <w:kern w:val="0"/>
          <w:sz w:val="28"/>
          <w:szCs w:val="28"/>
          <w:highlight w:val="none"/>
        </w:rPr>
      </w:pPr>
      <w:r>
        <w:rPr>
          <w:rFonts w:hint="eastAsia"/>
          <w:color w:val="auto"/>
          <w:highlight w:val="none"/>
        </w:rPr>
        <w:br w:type="page"/>
      </w:r>
      <w:bookmarkStart w:id="24" w:name="_Toc11753"/>
      <w:r>
        <w:rPr>
          <w:rFonts w:hint="eastAsia"/>
          <w:color w:val="auto"/>
          <w:kern w:val="0"/>
          <w:sz w:val="28"/>
          <w:szCs w:val="28"/>
          <w:highlight w:val="none"/>
        </w:rPr>
        <w:t>第四部分 质疑与投诉</w:t>
      </w:r>
      <w:bookmarkEnd w:id="24"/>
    </w:p>
    <w:p w14:paraId="7B9B29D9">
      <w:pPr>
        <w:shd w:val="clear"/>
        <w:rPr>
          <w:color w:val="auto"/>
          <w:highlight w:val="none"/>
        </w:rPr>
      </w:pPr>
    </w:p>
    <w:p w14:paraId="0AA1573B">
      <w:pPr>
        <w:shd w:val="clear"/>
        <w:spacing w:line="52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一、质疑与答复</w:t>
      </w:r>
    </w:p>
    <w:p w14:paraId="6A9C2D66">
      <w:pPr>
        <w:pStyle w:val="26"/>
        <w:shd w:val="clear"/>
        <w:spacing w:after="0"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0486A063">
      <w:pPr>
        <w:pStyle w:val="27"/>
        <w:shd w:val="clear"/>
        <w:spacing w:after="0" w:line="520" w:lineRule="exact"/>
        <w:ind w:left="0" w:leftChars="0" w:firstLine="480"/>
        <w:rPr>
          <w:rFonts w:hint="eastAsia" w:ascii="宋体" w:hAnsi="宋体" w:cs="宋体"/>
          <w:color w:val="auto"/>
          <w:sz w:val="24"/>
          <w:highlight w:val="none"/>
        </w:rPr>
      </w:pPr>
      <w:r>
        <w:rPr>
          <w:rFonts w:hint="eastAsia" w:ascii="宋体" w:hAnsi="宋体" w:cs="宋体"/>
          <w:color w:val="auto"/>
          <w:sz w:val="24"/>
          <w:highlight w:val="none"/>
        </w:rPr>
        <w:t>2. 供应商提出质疑应当提交质疑函和必要的证明材料。政府采购供应商质疑函范本下载地址：</w:t>
      </w:r>
    </w:p>
    <w:p w14:paraId="3BC3B2E2">
      <w:pPr>
        <w:pStyle w:val="27"/>
        <w:shd w:val="clear"/>
        <w:spacing w:after="0" w:line="520" w:lineRule="exact"/>
        <w:ind w:firstLine="0" w:firstLineChars="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"http://download.ccgp.gov.cn/2018/zhiyihanfanben.zip；" </w:instrText>
      </w:r>
      <w:r>
        <w:rPr>
          <w:color w:val="auto"/>
          <w:highlight w:val="none"/>
        </w:rPr>
        <w:fldChar w:fldCharType="separate"/>
      </w:r>
      <w:r>
        <w:rPr>
          <w:rStyle w:val="38"/>
          <w:rFonts w:hint="eastAsia" w:ascii="宋体" w:hAnsi="宋体" w:cs="宋体"/>
          <w:color w:val="auto"/>
          <w:sz w:val="24"/>
          <w:highlight w:val="none"/>
        </w:rPr>
        <w:t>http://download.ccgp.gov.cn/2018/zhiyihanfanben.zip；</w:t>
      </w:r>
      <w:r>
        <w:rPr>
          <w:rStyle w:val="38"/>
          <w:rFonts w:hint="eastAsia" w:ascii="宋体" w:hAnsi="宋体" w:cs="宋体"/>
          <w:color w:val="auto"/>
          <w:sz w:val="24"/>
          <w:highlight w:val="none"/>
        </w:rPr>
        <w:fldChar w:fldCharType="end"/>
      </w:r>
    </w:p>
    <w:p w14:paraId="5DB2556D">
      <w:pPr>
        <w:numPr>
          <w:ilvl w:val="0"/>
          <w:numId w:val="2"/>
        </w:numPr>
        <w:shd w:val="clea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采购人、采购代理机构不得拒收质疑供应商在法定质疑期内发出的质疑函，应当在收到质疑函后7个工作日内作出答复，并以书面形式通知质疑供应商和其他有关供应商。</w:t>
      </w:r>
    </w:p>
    <w:p w14:paraId="1D8421D3">
      <w:pPr>
        <w:numPr>
          <w:ilvl w:val="0"/>
          <w:numId w:val="2"/>
        </w:numPr>
        <w:shd w:val="clea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供应商提出质疑应当提交质疑函和必要的证明材料。质疑函应当包括下列内容：</w:t>
      </w:r>
    </w:p>
    <w:p w14:paraId="71124C5A">
      <w:pPr>
        <w:numPr>
          <w:ilvl w:val="1"/>
          <w:numId w:val="2"/>
        </w:numPr>
        <w:shd w:val="clear"/>
        <w:spacing w:line="52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供应商的姓名或者名称、地址、邮编、联系人及联系电话；</w:t>
      </w:r>
    </w:p>
    <w:p w14:paraId="66081B71">
      <w:pPr>
        <w:numPr>
          <w:ilvl w:val="1"/>
          <w:numId w:val="2"/>
        </w:numPr>
        <w:shd w:val="clear"/>
        <w:spacing w:line="52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质疑项目的名称、编号；</w:t>
      </w:r>
    </w:p>
    <w:p w14:paraId="6011BCE7">
      <w:pPr>
        <w:numPr>
          <w:ilvl w:val="1"/>
          <w:numId w:val="2"/>
        </w:numPr>
        <w:shd w:val="clear"/>
        <w:spacing w:line="52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具体、明确的质疑事项和与质疑事项相关的请求；</w:t>
      </w:r>
    </w:p>
    <w:p w14:paraId="2388D79D">
      <w:pPr>
        <w:numPr>
          <w:ilvl w:val="1"/>
          <w:numId w:val="2"/>
        </w:numPr>
        <w:shd w:val="clear"/>
        <w:spacing w:line="52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事实依据；</w:t>
      </w:r>
    </w:p>
    <w:p w14:paraId="53C478E0">
      <w:pPr>
        <w:numPr>
          <w:ilvl w:val="1"/>
          <w:numId w:val="2"/>
        </w:numPr>
        <w:shd w:val="clear"/>
        <w:spacing w:line="52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必要的法律依据；</w:t>
      </w:r>
    </w:p>
    <w:p w14:paraId="335E1739">
      <w:pPr>
        <w:numPr>
          <w:ilvl w:val="1"/>
          <w:numId w:val="2"/>
        </w:numPr>
        <w:shd w:val="clear"/>
        <w:spacing w:line="52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提出质疑的日期；</w:t>
      </w:r>
    </w:p>
    <w:p w14:paraId="3BADA41F">
      <w:pPr>
        <w:numPr>
          <w:ilvl w:val="1"/>
          <w:numId w:val="2"/>
        </w:numPr>
        <w:shd w:val="clear"/>
        <w:spacing w:line="52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获取招标文件的凭证；</w:t>
      </w:r>
    </w:p>
    <w:p w14:paraId="0F7E1EDE">
      <w:pPr>
        <w:numPr>
          <w:ilvl w:val="1"/>
          <w:numId w:val="2"/>
        </w:numPr>
        <w:shd w:val="clear"/>
        <w:spacing w:line="52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以上资料一式二份（招标人、采购代理机构各执一份）。</w:t>
      </w:r>
    </w:p>
    <w:p w14:paraId="7472E9CF">
      <w:pPr>
        <w:numPr>
          <w:ilvl w:val="0"/>
          <w:numId w:val="2"/>
        </w:numPr>
        <w:shd w:val="clea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供应商不得虚假质疑和恶意质疑，并对质疑内容的真实性承担责任。</w:t>
      </w:r>
    </w:p>
    <w:p w14:paraId="1545EDC2">
      <w:pPr>
        <w:pStyle w:val="26"/>
        <w:shd w:val="clea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5.供应商在法定质疑期内一次性提出针对同一采购程序环节的质疑，不得反复对不同的事项提出质疑。</w:t>
      </w:r>
    </w:p>
    <w:p w14:paraId="7780AF1E">
      <w:pPr>
        <w:shd w:val="clear"/>
        <w:spacing w:line="520" w:lineRule="exac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二、投诉与处理</w:t>
      </w:r>
    </w:p>
    <w:p w14:paraId="1ECB1B18">
      <w:pPr>
        <w:pStyle w:val="26"/>
        <w:shd w:val="clear"/>
        <w:spacing w:after="0"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1、质疑供应商对采购人、采购代理机构的答复不满意，或者采购人、采购代理机构未在规定时间内作出答复的，可以在答复期满后</w:t>
      </w:r>
      <w:r>
        <w:rPr>
          <w:rFonts w:hint="eastAsia" w:ascii="宋体" w:hAnsi="宋体" w:cs="宋体"/>
          <w:color w:val="auto"/>
          <w:sz w:val="24"/>
          <w:highlight w:val="none"/>
          <w:lang w:eastAsia="zh-CN"/>
        </w:rPr>
        <w:t>20日历天</w:t>
      </w:r>
      <w:r>
        <w:rPr>
          <w:rFonts w:hint="eastAsia" w:ascii="宋体" w:hAnsi="宋体" w:cs="宋体"/>
          <w:color w:val="auto"/>
          <w:sz w:val="24"/>
          <w:highlight w:val="none"/>
        </w:rPr>
        <w:t>内向本办法第六条规定的财政部门提起投诉。</w:t>
      </w:r>
    </w:p>
    <w:p w14:paraId="70DB31AC">
      <w:pPr>
        <w:shd w:val="clea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2、质疑供应商对采购人、采购代理机构的答复不满意，或者采购人、采购代理机构未在规定时间内作出答复的，可以在答复期满后</w:t>
      </w:r>
      <w:r>
        <w:rPr>
          <w:rFonts w:hint="eastAsia" w:ascii="宋体" w:hAnsi="宋体" w:cs="宋体"/>
          <w:color w:val="auto"/>
          <w:sz w:val="24"/>
          <w:highlight w:val="none"/>
          <w:lang w:eastAsia="zh-CN"/>
        </w:rPr>
        <w:t>20日历天</w:t>
      </w:r>
      <w:r>
        <w:rPr>
          <w:rFonts w:hint="eastAsia" w:ascii="宋体" w:hAnsi="宋体" w:cs="宋体"/>
          <w:color w:val="auto"/>
          <w:sz w:val="24"/>
          <w:highlight w:val="none"/>
        </w:rPr>
        <w:t>内向财政部门提起投诉。</w:t>
      </w:r>
    </w:p>
    <w:p w14:paraId="240D780A">
      <w:pPr>
        <w:pStyle w:val="26"/>
        <w:shd w:val="clear"/>
        <w:spacing w:after="0"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3、投诉人投诉时,应当提交投诉书和必要的证明材料，并按照被投诉采购人、采购代理机构（以下简称被投诉人）和与投诉事项有关的供应商数量提供投诉书的副本。政府采购供应商投诉书范本下载地址：</w:t>
      </w:r>
    </w:p>
    <w:p w14:paraId="33C2E87B">
      <w:pPr>
        <w:pStyle w:val="26"/>
        <w:shd w:val="clear"/>
        <w:spacing w:after="0" w:line="520" w:lineRule="exact"/>
        <w:ind w:firstLineChars="2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"http://download.ccgp.gov.cn/2018/tousushufanben.zip" </w:instrText>
      </w:r>
      <w:r>
        <w:rPr>
          <w:color w:val="auto"/>
          <w:highlight w:val="none"/>
        </w:rPr>
        <w:fldChar w:fldCharType="separate"/>
      </w:r>
      <w:r>
        <w:rPr>
          <w:rStyle w:val="38"/>
          <w:rFonts w:hint="eastAsia" w:ascii="宋体" w:hAnsi="宋体" w:cs="宋体"/>
          <w:color w:val="auto"/>
          <w:sz w:val="24"/>
          <w:highlight w:val="none"/>
        </w:rPr>
        <w:t>http://download.ccgp.gov.cn/2018/tousushufanben.zip</w:t>
      </w:r>
      <w:r>
        <w:rPr>
          <w:rStyle w:val="38"/>
          <w:rFonts w:hint="eastAsia" w:ascii="宋体" w:hAnsi="宋体" w:cs="宋体"/>
          <w:color w:val="auto"/>
          <w:sz w:val="24"/>
          <w:highlight w:val="none"/>
        </w:rPr>
        <w:fldChar w:fldCharType="end"/>
      </w:r>
    </w:p>
    <w:p w14:paraId="575D9026">
      <w:pPr>
        <w:numPr>
          <w:ilvl w:val="0"/>
          <w:numId w:val="1"/>
        </w:numPr>
        <w:shd w:val="clea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财政部门自收到投诉之日起30个工作日内，对投诉事项作出处理决定并公示。</w:t>
      </w:r>
    </w:p>
    <w:p w14:paraId="3B6FD700">
      <w:pPr>
        <w:shd w:val="clea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投诉人在全国范围12个月内三次以上投诉查无实据的，由财政部门列入不良行为记录名单。</w:t>
      </w:r>
    </w:p>
    <w:p w14:paraId="4C97E2A2">
      <w:pPr>
        <w:shd w:val="clea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投诉人有财政部94号令第三十七条情形的，属于虚假、恶意投诉，由财政部门列入不良行为记录名单，禁止其1至3年内参加政府采购活动。投诉联系电话：0391-8683273  地址：博爱县机关综合办公楼主楼1213室 </w:t>
      </w:r>
      <w:bookmarkStart w:id="25" w:name="_Toc4037"/>
      <w:bookmarkStart w:id="26" w:name="_Toc533668873"/>
      <w:bookmarkStart w:id="27" w:name="_Toc28662"/>
    </w:p>
    <w:p w14:paraId="79DE2D33">
      <w:pPr>
        <w:pStyle w:val="2"/>
        <w:shd w:val="clear"/>
        <w:spacing w:before="0" w:after="0" w:line="520" w:lineRule="exact"/>
        <w:rPr>
          <w:color w:val="auto"/>
          <w:highlight w:val="none"/>
        </w:rPr>
      </w:pPr>
    </w:p>
    <w:p w14:paraId="5B790140">
      <w:pPr>
        <w:shd w:val="clear"/>
        <w:spacing w:line="520" w:lineRule="exact"/>
        <w:rPr>
          <w:color w:val="auto"/>
          <w:highlight w:val="none"/>
        </w:rPr>
      </w:pPr>
    </w:p>
    <w:p w14:paraId="688EA395">
      <w:pPr>
        <w:shd w:val="clear"/>
        <w:rPr>
          <w:color w:val="auto"/>
          <w:highlight w:val="none"/>
        </w:rPr>
      </w:pPr>
    </w:p>
    <w:p w14:paraId="43266ABD">
      <w:pPr>
        <w:shd w:val="clear"/>
        <w:rPr>
          <w:color w:val="auto"/>
          <w:highlight w:val="none"/>
        </w:rPr>
      </w:pPr>
    </w:p>
    <w:p w14:paraId="20048B82">
      <w:pPr>
        <w:pStyle w:val="2"/>
        <w:shd w:val="clear"/>
        <w:spacing w:before="0" w:after="0" w:line="360" w:lineRule="auto"/>
        <w:jc w:val="center"/>
        <w:rPr>
          <w:rFonts w:hint="eastAsia"/>
          <w:color w:val="auto"/>
          <w:kern w:val="0"/>
          <w:sz w:val="28"/>
          <w:szCs w:val="28"/>
          <w:highlight w:val="none"/>
        </w:rPr>
        <w:sectPr>
          <w:footerReference r:id="rId7" w:type="default"/>
          <w:pgSz w:w="11905" w:h="16838"/>
          <w:pgMar w:top="1440" w:right="1622" w:bottom="1440" w:left="1463" w:header="567" w:footer="998" w:gutter="0"/>
          <w:pgNumType w:fmt="decimal"/>
          <w:cols w:space="0" w:num="1"/>
          <w:docGrid w:type="lines" w:linePitch="389" w:charSpace="0"/>
        </w:sectPr>
      </w:pPr>
      <w:bookmarkStart w:id="28" w:name="_Toc2271"/>
    </w:p>
    <w:bookmarkEnd w:id="25"/>
    <w:bookmarkEnd w:id="26"/>
    <w:bookmarkEnd w:id="27"/>
    <w:bookmarkEnd w:id="28"/>
    <w:p w14:paraId="03582E1D">
      <w:pPr>
        <w:pStyle w:val="2"/>
        <w:numPr>
          <w:ilvl w:val="0"/>
          <w:numId w:val="0"/>
        </w:numPr>
        <w:shd w:val="clear"/>
        <w:spacing w:before="0" w:after="0" w:line="360" w:lineRule="auto"/>
        <w:jc w:val="center"/>
        <w:rPr>
          <w:rFonts w:hint="eastAsia"/>
          <w:color w:val="auto"/>
          <w:kern w:val="0"/>
          <w:sz w:val="28"/>
          <w:szCs w:val="28"/>
          <w:highlight w:val="none"/>
        </w:rPr>
      </w:pPr>
      <w:r>
        <w:rPr>
          <w:rFonts w:hint="eastAsia" w:ascii="Book Antiqua" w:hAnsi="Book Antiqua" w:eastAsia="宋体" w:cs="Times New Roman"/>
          <w:b/>
          <w:bCs/>
          <w:color w:val="auto"/>
          <w:kern w:val="0"/>
          <w:sz w:val="28"/>
          <w:szCs w:val="28"/>
          <w:highlight w:val="none"/>
          <w:lang w:val="en-US" w:eastAsia="zh-CN" w:bidi="ar-SA"/>
        </w:rPr>
        <w:t>第五部分</w:t>
      </w:r>
      <w:r>
        <w:rPr>
          <w:rFonts w:hint="eastAsia"/>
          <w:color w:val="auto"/>
          <w:kern w:val="0"/>
          <w:sz w:val="28"/>
          <w:szCs w:val="28"/>
          <w:highlight w:val="none"/>
        </w:rPr>
        <w:t xml:space="preserve"> 采购内容及要求</w:t>
      </w:r>
    </w:p>
    <w:p w14:paraId="4D37139A">
      <w:pPr>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lang w:val="en-US" w:eastAsia="zh-CN"/>
        </w:rPr>
        <w:t>一、项目概况</w:t>
      </w:r>
    </w:p>
    <w:p w14:paraId="6F9023D3">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项目名称：</w:t>
      </w:r>
      <w:r>
        <w:rPr>
          <w:rFonts w:hint="eastAsia" w:ascii="宋体" w:hAnsi="宋体" w:cs="宋体"/>
          <w:color w:val="auto"/>
          <w:sz w:val="24"/>
          <w:szCs w:val="32"/>
          <w:highlight w:val="none"/>
          <w:lang w:val="en-US" w:eastAsia="zh-CN"/>
        </w:rPr>
        <w:t>博爱县人民医院无纸化病案管理系统采购项目</w:t>
      </w:r>
    </w:p>
    <w:p w14:paraId="3D2A552D">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采购内容：</w:t>
      </w:r>
      <w:r>
        <w:rPr>
          <w:rFonts w:hint="eastAsia" w:ascii="宋体" w:hAnsi="宋体" w:cs="宋体"/>
          <w:color w:val="auto"/>
          <w:sz w:val="24"/>
          <w:szCs w:val="32"/>
          <w:highlight w:val="none"/>
          <w:lang w:val="en-US" w:eastAsia="zh-CN"/>
        </w:rPr>
        <w:t>采购无纸化病案系统软件等（具体要求详见谈判文件）</w:t>
      </w:r>
      <w:r>
        <w:rPr>
          <w:rFonts w:hint="eastAsia" w:ascii="宋体" w:hAnsi="宋体" w:eastAsia="宋体" w:cs="宋体"/>
          <w:color w:val="auto"/>
          <w:sz w:val="24"/>
          <w:szCs w:val="24"/>
          <w:highlight w:val="none"/>
          <w:lang w:val="en-US" w:eastAsia="zh-CN"/>
        </w:rPr>
        <w:t>。</w:t>
      </w:r>
    </w:p>
    <w:p w14:paraId="6A15CBE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质量标准：合格，符合国家及行业规范标准。</w:t>
      </w:r>
    </w:p>
    <w:p w14:paraId="0E4E0DA7">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合同履行期限（供货安装期）：</w:t>
      </w:r>
      <w:r>
        <w:rPr>
          <w:rFonts w:hint="eastAsia" w:ascii="宋体" w:hAnsi="宋体" w:cs="宋体"/>
          <w:color w:val="auto"/>
          <w:sz w:val="24"/>
          <w:szCs w:val="32"/>
          <w:highlight w:val="none"/>
          <w:lang w:val="en-US" w:eastAsia="zh-CN"/>
        </w:rPr>
        <w:t>自合同签订之日起180日历天</w:t>
      </w:r>
    </w:p>
    <w:p w14:paraId="23D7D636">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质保期:</w:t>
      </w:r>
      <w:r>
        <w:rPr>
          <w:rFonts w:hint="eastAsia" w:ascii="宋体" w:hAnsi="宋体" w:cs="宋体"/>
          <w:color w:val="auto"/>
          <w:sz w:val="24"/>
          <w:szCs w:val="32"/>
          <w:highlight w:val="none"/>
          <w:lang w:val="en-US" w:eastAsia="zh-CN"/>
        </w:rPr>
        <w:t>3年</w:t>
      </w:r>
      <w:r>
        <w:rPr>
          <w:rFonts w:hint="eastAsia" w:ascii="宋体" w:hAnsi="宋体" w:eastAsia="宋体" w:cs="宋体"/>
          <w:color w:val="auto"/>
          <w:sz w:val="24"/>
          <w:szCs w:val="32"/>
          <w:highlight w:val="none"/>
          <w:lang w:val="en-US" w:eastAsia="zh-CN"/>
        </w:rPr>
        <w:t>。</w:t>
      </w:r>
    </w:p>
    <w:p w14:paraId="2358DD54">
      <w:pPr>
        <w:widowControl w:val="0"/>
        <w:spacing w:after="120" w:line="440" w:lineRule="atLeast"/>
        <w:ind w:firstLine="482" w:firstLineChars="200"/>
        <w:jc w:val="both"/>
        <w:rPr>
          <w:rFonts w:hint="default"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二、技术参数要求</w:t>
      </w:r>
    </w:p>
    <w:tbl>
      <w:tblPr>
        <w:tblStyle w:val="28"/>
        <w:tblW w:w="917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476"/>
        <w:gridCol w:w="6594"/>
      </w:tblGrid>
      <w:tr w14:paraId="6DB2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restart"/>
            <w:shd w:val="clear" w:color="auto" w:fill="auto"/>
            <w:noWrap w:val="0"/>
            <w:vAlign w:val="center"/>
          </w:tcPr>
          <w:p w14:paraId="0B1EA6F7">
            <w:pPr>
              <w:spacing w:line="360" w:lineRule="auto"/>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1、无纸化病案归档管理系统</w:t>
            </w:r>
          </w:p>
        </w:tc>
        <w:tc>
          <w:tcPr>
            <w:tcW w:w="1476" w:type="dxa"/>
            <w:vMerge w:val="restart"/>
            <w:shd w:val="clear" w:color="auto" w:fill="auto"/>
            <w:noWrap w:val="0"/>
            <w:vAlign w:val="center"/>
          </w:tcPr>
          <w:p w14:paraId="120DB611">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1.1系统架构</w:t>
            </w:r>
          </w:p>
        </w:tc>
        <w:tc>
          <w:tcPr>
            <w:tcW w:w="6594" w:type="dxa"/>
            <w:noWrap w:val="0"/>
            <w:vAlign w:val="top"/>
          </w:tcPr>
          <w:p w14:paraId="5965BAE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系统架构采用全B/S模式，无需安装客户端，支持分布式部署，内网环境下可以随时随地进行查询，浏览，业务处理等，方便进行系统的统一管理，支持谷歌、IE、火狐、360等多款常用主流浏览器。</w:t>
            </w:r>
          </w:p>
        </w:tc>
      </w:tr>
      <w:tr w14:paraId="4E6A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FB6D5EF">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A7C0439">
            <w:pPr>
              <w:spacing w:line="360" w:lineRule="auto"/>
              <w:jc w:val="center"/>
              <w:rPr>
                <w:rFonts w:hint="eastAsia" w:ascii="宋体" w:hAnsi="宋体" w:cs="宋体"/>
                <w:b/>
                <w:color w:val="auto"/>
                <w:szCs w:val="21"/>
                <w:highlight w:val="none"/>
              </w:rPr>
            </w:pPr>
          </w:p>
        </w:tc>
        <w:tc>
          <w:tcPr>
            <w:tcW w:w="6594" w:type="dxa"/>
            <w:noWrap w:val="0"/>
            <w:vAlign w:val="top"/>
          </w:tcPr>
          <w:p w14:paraId="74A091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系统采用ORCALE数据库，稳定性强、安全性高</w:t>
            </w:r>
          </w:p>
        </w:tc>
      </w:tr>
      <w:tr w14:paraId="1B8C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3C38E521">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61C76D6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1.2数据存储</w:t>
            </w:r>
          </w:p>
        </w:tc>
        <w:tc>
          <w:tcPr>
            <w:tcW w:w="6594" w:type="dxa"/>
            <w:noWrap w:val="0"/>
            <w:vAlign w:val="top"/>
          </w:tcPr>
          <w:p w14:paraId="0F16654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支持服务器存储扩展，可通过服务器、存储设备的叠加满足存储空间追加的需求。</w:t>
            </w:r>
          </w:p>
        </w:tc>
      </w:tr>
      <w:tr w14:paraId="1F71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3486DCA">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C2D84FD">
            <w:pPr>
              <w:spacing w:line="360" w:lineRule="auto"/>
              <w:jc w:val="center"/>
              <w:rPr>
                <w:rFonts w:hint="eastAsia" w:ascii="宋体" w:hAnsi="宋体" w:cs="宋体"/>
                <w:b/>
                <w:color w:val="auto"/>
                <w:szCs w:val="21"/>
                <w:highlight w:val="none"/>
              </w:rPr>
            </w:pPr>
          </w:p>
        </w:tc>
        <w:tc>
          <w:tcPr>
            <w:tcW w:w="6594" w:type="dxa"/>
            <w:noWrap w:val="0"/>
            <w:vAlign w:val="top"/>
          </w:tcPr>
          <w:p w14:paraId="21D64DE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支持分布式存储部署，支持容灾功能，在半数存储正常的情况下系统可以正常使用，对业务系统没有影响。</w:t>
            </w:r>
          </w:p>
        </w:tc>
      </w:tr>
      <w:tr w14:paraId="5088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34EC85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ACC18C1">
            <w:pPr>
              <w:spacing w:line="360" w:lineRule="auto"/>
              <w:jc w:val="center"/>
              <w:rPr>
                <w:rFonts w:hint="eastAsia" w:ascii="宋体" w:hAnsi="宋体" w:cs="宋体"/>
                <w:b/>
                <w:color w:val="auto"/>
                <w:szCs w:val="21"/>
                <w:highlight w:val="none"/>
              </w:rPr>
            </w:pPr>
          </w:p>
        </w:tc>
        <w:tc>
          <w:tcPr>
            <w:tcW w:w="6594" w:type="dxa"/>
            <w:noWrap w:val="0"/>
            <w:vAlign w:val="top"/>
          </w:tcPr>
          <w:p w14:paraId="038169C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具备完善的数据备份机制、数据恢复机制，支持增量备份、数据转储以及恢复功能。</w:t>
            </w:r>
          </w:p>
        </w:tc>
      </w:tr>
      <w:tr w14:paraId="2B16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440709D0">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B9131CA">
            <w:pPr>
              <w:spacing w:line="360" w:lineRule="auto"/>
              <w:jc w:val="center"/>
              <w:rPr>
                <w:rFonts w:hint="eastAsia" w:ascii="宋体" w:hAnsi="宋体" w:cs="宋体"/>
                <w:b/>
                <w:color w:val="auto"/>
                <w:szCs w:val="21"/>
                <w:highlight w:val="none"/>
              </w:rPr>
            </w:pPr>
          </w:p>
        </w:tc>
        <w:tc>
          <w:tcPr>
            <w:tcW w:w="6594" w:type="dxa"/>
            <w:noWrap w:val="0"/>
            <w:vAlign w:val="top"/>
          </w:tcPr>
          <w:p w14:paraId="50BEF14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服务器文件采用http模式传输</w:t>
            </w:r>
            <w:r>
              <w:rPr>
                <w:rFonts w:hint="eastAsia" w:ascii="宋体" w:hAnsi="宋体" w:cs="宋体"/>
                <w:color w:val="auto"/>
                <w:szCs w:val="21"/>
                <w:highlight w:val="none"/>
                <w:lang w:eastAsia="zh-CN"/>
              </w:rPr>
              <w:t>，支持客户端/服务器模式，具备服务器程序小、通信速度快、传输灵活、占用服务器资源小等优势</w:t>
            </w:r>
            <w:r>
              <w:rPr>
                <w:rFonts w:hint="eastAsia" w:ascii="宋体" w:hAnsi="宋体" w:cs="宋体"/>
                <w:color w:val="auto"/>
                <w:szCs w:val="21"/>
                <w:highlight w:val="none"/>
              </w:rPr>
              <w:t>。</w:t>
            </w:r>
          </w:p>
        </w:tc>
      </w:tr>
      <w:tr w14:paraId="7736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shd w:val="clear" w:color="auto" w:fill="auto"/>
            <w:noWrap w:val="0"/>
            <w:vAlign w:val="center"/>
          </w:tcPr>
          <w:p w14:paraId="362743E0">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6803276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1.3数据采集</w:t>
            </w:r>
          </w:p>
        </w:tc>
        <w:tc>
          <w:tcPr>
            <w:tcW w:w="6594" w:type="dxa"/>
            <w:noWrap w:val="0"/>
            <w:vAlign w:val="top"/>
          </w:tcPr>
          <w:p w14:paraId="53CDBD2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具备标准化的电子病案采集接口，可以快速对接医院的各业务系统或临床数据平台，自动采集获取病历文书数据，包括HIS、LIS、PACS、EMR、病理、心电、手麻、移动护理等，支持针对各业务系统或临床数据平台，自动采集设置进行界面化配置。</w:t>
            </w:r>
          </w:p>
        </w:tc>
      </w:tr>
      <w:tr w14:paraId="40A8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6ADD061">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56E9E77">
            <w:pPr>
              <w:spacing w:line="360" w:lineRule="auto"/>
              <w:jc w:val="center"/>
              <w:rPr>
                <w:rFonts w:hint="eastAsia" w:ascii="宋体" w:hAnsi="宋体" w:cs="宋体"/>
                <w:b/>
                <w:color w:val="auto"/>
                <w:szCs w:val="21"/>
                <w:highlight w:val="none"/>
              </w:rPr>
            </w:pPr>
          </w:p>
        </w:tc>
        <w:tc>
          <w:tcPr>
            <w:tcW w:w="6594" w:type="dxa"/>
            <w:noWrap w:val="0"/>
            <w:vAlign w:val="top"/>
          </w:tcPr>
          <w:p w14:paraId="5C4438C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支持http、ftp、webservice接口、共享方式的</w:t>
            </w:r>
            <w:r>
              <w:rPr>
                <w:rFonts w:hint="eastAsia" w:ascii="宋体" w:hAnsi="宋体" w:cs="宋体"/>
                <w:color w:val="auto"/>
                <w:szCs w:val="21"/>
                <w:highlight w:val="none"/>
                <w:lang w:eastAsia="zh-CN"/>
              </w:rPr>
              <w:t>多种</w:t>
            </w:r>
            <w:r>
              <w:rPr>
                <w:rFonts w:hint="eastAsia" w:ascii="宋体" w:hAnsi="宋体" w:cs="宋体"/>
                <w:color w:val="auto"/>
                <w:szCs w:val="21"/>
                <w:highlight w:val="none"/>
              </w:rPr>
              <w:t>对接</w:t>
            </w:r>
            <w:r>
              <w:rPr>
                <w:rFonts w:hint="eastAsia" w:ascii="宋体" w:hAnsi="宋体" w:cs="宋体"/>
                <w:color w:val="auto"/>
                <w:szCs w:val="21"/>
                <w:highlight w:val="none"/>
                <w:lang w:eastAsia="zh-CN"/>
              </w:rPr>
              <w:t>方式，满足医院</w:t>
            </w:r>
            <w:r>
              <w:rPr>
                <w:rFonts w:hint="eastAsia" w:ascii="宋体" w:hAnsi="宋体" w:cs="宋体"/>
                <w:color w:val="auto"/>
                <w:szCs w:val="21"/>
                <w:highlight w:val="none"/>
              </w:rPr>
              <w:t>各业务系统</w:t>
            </w:r>
            <w:r>
              <w:rPr>
                <w:rFonts w:hint="eastAsia" w:ascii="宋体" w:hAnsi="宋体" w:cs="宋体"/>
                <w:color w:val="auto"/>
                <w:szCs w:val="21"/>
                <w:highlight w:val="none"/>
                <w:lang w:eastAsia="zh-CN"/>
              </w:rPr>
              <w:t>或临床数据平台多元化对接方式。</w:t>
            </w:r>
          </w:p>
        </w:tc>
      </w:tr>
      <w:tr w14:paraId="6D68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DC5937F">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D3D4559">
            <w:pPr>
              <w:spacing w:line="360" w:lineRule="auto"/>
              <w:jc w:val="center"/>
              <w:rPr>
                <w:rFonts w:hint="eastAsia" w:ascii="宋体" w:hAnsi="宋体" w:cs="宋体"/>
                <w:b/>
                <w:color w:val="auto"/>
                <w:szCs w:val="21"/>
                <w:highlight w:val="none"/>
              </w:rPr>
            </w:pPr>
          </w:p>
        </w:tc>
        <w:tc>
          <w:tcPr>
            <w:tcW w:w="6594" w:type="dxa"/>
            <w:noWrap w:val="0"/>
            <w:vAlign w:val="top"/>
          </w:tcPr>
          <w:p w14:paraId="22D3071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bidi="ar"/>
              </w:rPr>
            </w:pPr>
            <w:r>
              <w:rPr>
                <w:rFonts w:hint="eastAsia" w:ascii="宋体" w:hAnsi="宋体" w:cs="宋体"/>
                <w:color w:val="auto"/>
                <w:szCs w:val="21"/>
                <w:highlight w:val="none"/>
                <w:lang w:eastAsia="zh-CN"/>
              </w:rPr>
              <w:t>接口方面通过任务调度模式，自动分配各个采集终端进行工作，可有效避免采集堵塞。</w:t>
            </w:r>
          </w:p>
        </w:tc>
      </w:tr>
      <w:tr w14:paraId="6163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2901F10">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4E7679E">
            <w:pPr>
              <w:spacing w:line="360" w:lineRule="auto"/>
              <w:jc w:val="center"/>
              <w:rPr>
                <w:rFonts w:hint="eastAsia" w:ascii="宋体" w:hAnsi="宋体" w:cs="宋体"/>
                <w:b/>
                <w:color w:val="auto"/>
                <w:szCs w:val="21"/>
                <w:highlight w:val="none"/>
              </w:rPr>
            </w:pPr>
          </w:p>
        </w:tc>
        <w:tc>
          <w:tcPr>
            <w:tcW w:w="6594" w:type="dxa"/>
            <w:noWrap w:val="0"/>
            <w:vAlign w:val="top"/>
          </w:tcPr>
          <w:p w14:paraId="455987D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采集数据通过系统后台自动进行上传，无需人工干预。</w:t>
            </w:r>
          </w:p>
        </w:tc>
      </w:tr>
      <w:tr w14:paraId="27FB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659C21C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98E1677">
            <w:pPr>
              <w:spacing w:line="360" w:lineRule="auto"/>
              <w:jc w:val="center"/>
              <w:rPr>
                <w:rFonts w:hint="eastAsia" w:ascii="宋体" w:hAnsi="宋体" w:cs="宋体"/>
                <w:b/>
                <w:color w:val="auto"/>
                <w:szCs w:val="21"/>
                <w:highlight w:val="none"/>
              </w:rPr>
            </w:pPr>
          </w:p>
        </w:tc>
        <w:tc>
          <w:tcPr>
            <w:tcW w:w="6594" w:type="dxa"/>
            <w:noWrap w:val="0"/>
            <w:vAlign w:val="top"/>
          </w:tcPr>
          <w:p w14:paraId="3B3206F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支持自动完整性审核功能，通过接口采集对比，生成应收实收报表，自动判断采集是否完整，不完整时自动进行补齐，如无法自动补齐，则提示缺项信息。</w:t>
            </w:r>
          </w:p>
        </w:tc>
      </w:tr>
      <w:tr w14:paraId="7294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468EAF6">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77A4FFB">
            <w:pPr>
              <w:spacing w:line="360" w:lineRule="auto"/>
              <w:jc w:val="center"/>
              <w:rPr>
                <w:rFonts w:hint="eastAsia" w:ascii="宋体" w:hAnsi="宋体" w:cs="宋体"/>
                <w:b/>
                <w:color w:val="auto"/>
                <w:szCs w:val="21"/>
                <w:highlight w:val="none"/>
              </w:rPr>
            </w:pPr>
          </w:p>
        </w:tc>
        <w:tc>
          <w:tcPr>
            <w:tcW w:w="6594" w:type="dxa"/>
            <w:noWrap w:val="0"/>
            <w:vAlign w:val="top"/>
          </w:tcPr>
          <w:p w14:paraId="21D2A32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支持对指定业务系统按时间段进行批量重新采集。</w:t>
            </w:r>
          </w:p>
        </w:tc>
      </w:tr>
      <w:tr w14:paraId="2A92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1FFF149">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A5CAEFB">
            <w:pPr>
              <w:spacing w:line="360" w:lineRule="auto"/>
              <w:jc w:val="center"/>
              <w:rPr>
                <w:rFonts w:hint="eastAsia" w:ascii="宋体" w:hAnsi="宋体" w:cs="宋体"/>
                <w:b/>
                <w:color w:val="auto"/>
                <w:szCs w:val="21"/>
                <w:highlight w:val="none"/>
              </w:rPr>
            </w:pPr>
          </w:p>
        </w:tc>
        <w:tc>
          <w:tcPr>
            <w:tcW w:w="6594" w:type="dxa"/>
            <w:noWrap w:val="0"/>
            <w:vAlign w:val="top"/>
          </w:tcPr>
          <w:p w14:paraId="6B45E3B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支持监控业务系统病历文书修改状态，可自动重新采集业务系统产生的病历文书。</w:t>
            </w:r>
          </w:p>
        </w:tc>
      </w:tr>
      <w:tr w14:paraId="2D8C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6800E40">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30FF4DE5">
            <w:pPr>
              <w:spacing w:line="360" w:lineRule="auto"/>
              <w:jc w:val="center"/>
              <w:rPr>
                <w:rFonts w:hint="eastAsia" w:ascii="宋体" w:hAnsi="宋体" w:cs="宋体"/>
                <w:b/>
                <w:color w:val="auto"/>
                <w:szCs w:val="21"/>
                <w:highlight w:val="none"/>
              </w:rPr>
            </w:pPr>
          </w:p>
        </w:tc>
        <w:tc>
          <w:tcPr>
            <w:tcW w:w="6594" w:type="dxa"/>
            <w:noWrap w:val="0"/>
            <w:vAlign w:val="top"/>
          </w:tcPr>
          <w:p w14:paraId="0B0F93D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支持格式转换功能，支持将各个不同格式的文件统一转换为PDF文件进行存储。</w:t>
            </w:r>
          </w:p>
        </w:tc>
      </w:tr>
      <w:tr w14:paraId="7A86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BF80EB0">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A177AF3">
            <w:pPr>
              <w:spacing w:line="360" w:lineRule="auto"/>
              <w:jc w:val="center"/>
              <w:rPr>
                <w:rFonts w:hint="eastAsia" w:ascii="宋体" w:hAnsi="宋体" w:cs="宋体"/>
                <w:b/>
                <w:color w:val="auto"/>
                <w:szCs w:val="21"/>
                <w:highlight w:val="none"/>
              </w:rPr>
            </w:pPr>
          </w:p>
        </w:tc>
        <w:tc>
          <w:tcPr>
            <w:tcW w:w="6594" w:type="dxa"/>
            <w:noWrap w:val="0"/>
            <w:vAlign w:val="top"/>
          </w:tcPr>
          <w:p w14:paraId="3E34612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支持运行监控功能，针对系统的运行进行监控，发现问题先进行自动化处理，如无法自动解决则通知问题至系统管理员处。</w:t>
            </w:r>
          </w:p>
        </w:tc>
      </w:tr>
      <w:tr w14:paraId="25D7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680E97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87CC5C1">
            <w:pPr>
              <w:spacing w:line="360" w:lineRule="auto"/>
              <w:jc w:val="center"/>
              <w:rPr>
                <w:rFonts w:hint="eastAsia" w:ascii="宋体" w:hAnsi="宋体" w:cs="宋体"/>
                <w:b/>
                <w:color w:val="auto"/>
                <w:szCs w:val="21"/>
                <w:highlight w:val="none"/>
              </w:rPr>
            </w:pPr>
          </w:p>
        </w:tc>
        <w:tc>
          <w:tcPr>
            <w:tcW w:w="6594" w:type="dxa"/>
            <w:noWrap w:val="0"/>
            <w:vAlign w:val="top"/>
          </w:tcPr>
          <w:p w14:paraId="0BBD9F5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bidi="ar"/>
              </w:rPr>
            </w:pPr>
            <w:r>
              <w:rPr>
                <w:rFonts w:hint="eastAsia" w:ascii="宋体" w:hAnsi="宋体" w:cs="宋体"/>
                <w:color w:val="auto"/>
                <w:szCs w:val="21"/>
                <w:highlight w:val="none"/>
                <w:lang w:eastAsia="zh-CN"/>
              </w:rPr>
              <w:t>支持文件加密处理，加密转化采集的病历PDF报告，使其不能通过其他软件直接打开浏览。</w:t>
            </w:r>
            <w:r>
              <w:rPr>
                <w:rFonts w:hint="eastAsia" w:ascii="宋体" w:hAnsi="宋体" w:eastAsia="宋体" w:cs="宋体"/>
                <w:color w:val="auto"/>
                <w:szCs w:val="21"/>
                <w:highlight w:val="none"/>
                <w:lang w:val="en-US" w:eastAsia="zh-CN"/>
              </w:rPr>
              <w:t>需输入密码，浏览时间查看可自定义设置。</w:t>
            </w:r>
          </w:p>
        </w:tc>
      </w:tr>
      <w:tr w14:paraId="5C66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57897585">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0A497E1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1.4对外集成</w:t>
            </w:r>
          </w:p>
        </w:tc>
        <w:tc>
          <w:tcPr>
            <w:tcW w:w="6594" w:type="dxa"/>
            <w:noWrap w:val="0"/>
            <w:vAlign w:val="top"/>
          </w:tcPr>
          <w:p w14:paraId="1219772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支持自助打印病案文件接口。</w:t>
            </w:r>
          </w:p>
        </w:tc>
      </w:tr>
      <w:tr w14:paraId="5EE9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46E0B537">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4797880">
            <w:pPr>
              <w:spacing w:line="360" w:lineRule="auto"/>
              <w:jc w:val="center"/>
              <w:rPr>
                <w:rFonts w:hint="eastAsia" w:ascii="宋体" w:hAnsi="宋体" w:cs="宋体"/>
                <w:b/>
                <w:color w:val="auto"/>
                <w:szCs w:val="21"/>
                <w:highlight w:val="none"/>
              </w:rPr>
            </w:pPr>
          </w:p>
        </w:tc>
        <w:tc>
          <w:tcPr>
            <w:tcW w:w="6594" w:type="dxa"/>
            <w:noWrap w:val="0"/>
            <w:vAlign w:val="top"/>
          </w:tcPr>
          <w:p w14:paraId="141F1F6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支持第三方系统进行病案信息调用，支持多种不同的查询条件，如病案号、住院号、患者ID、身份证号等。</w:t>
            </w:r>
          </w:p>
        </w:tc>
      </w:tr>
      <w:tr w14:paraId="0749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00" w:type="dxa"/>
            <w:vMerge w:val="continue"/>
            <w:noWrap w:val="0"/>
            <w:vAlign w:val="center"/>
          </w:tcPr>
          <w:p w14:paraId="51936B66">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D14EFAA">
            <w:pPr>
              <w:spacing w:line="360" w:lineRule="auto"/>
              <w:jc w:val="center"/>
              <w:rPr>
                <w:rFonts w:hint="eastAsia" w:ascii="宋体" w:hAnsi="宋体" w:cs="宋体"/>
                <w:b/>
                <w:color w:val="auto"/>
                <w:szCs w:val="21"/>
                <w:highlight w:val="none"/>
              </w:rPr>
            </w:pPr>
          </w:p>
        </w:tc>
        <w:tc>
          <w:tcPr>
            <w:tcW w:w="6594" w:type="dxa"/>
            <w:noWrap w:val="0"/>
            <w:vAlign w:val="top"/>
          </w:tcPr>
          <w:p w14:paraId="08FBFAB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支持满足医院电子病历对医院门诊、住院患者的全息就诊、住院视图或者360就诊、住院视图，统一展现患者完整历史病案信息，包括数字化处理的历史住院病案对接需求。</w:t>
            </w:r>
          </w:p>
        </w:tc>
      </w:tr>
      <w:tr w14:paraId="3A20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6868C80D">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5C37B7F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1.5病案归档</w:t>
            </w:r>
          </w:p>
        </w:tc>
        <w:tc>
          <w:tcPr>
            <w:tcW w:w="6594" w:type="dxa"/>
            <w:noWrap w:val="0"/>
            <w:vAlign w:val="top"/>
          </w:tcPr>
          <w:p w14:paraId="355A005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支持多种归档模式，通过患者的归档标识，对病案进行单份归档、批量归档。</w:t>
            </w:r>
          </w:p>
        </w:tc>
      </w:tr>
      <w:tr w14:paraId="4098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4C720DF">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4FC1FB3">
            <w:pPr>
              <w:spacing w:line="360" w:lineRule="auto"/>
              <w:jc w:val="center"/>
              <w:rPr>
                <w:rFonts w:hint="eastAsia" w:ascii="宋体" w:hAnsi="宋体" w:cs="宋体"/>
                <w:b/>
                <w:color w:val="auto"/>
                <w:szCs w:val="21"/>
                <w:highlight w:val="none"/>
              </w:rPr>
            </w:pPr>
          </w:p>
        </w:tc>
        <w:tc>
          <w:tcPr>
            <w:tcW w:w="6594" w:type="dxa"/>
            <w:noWrap w:val="0"/>
            <w:vAlign w:val="top"/>
          </w:tcPr>
          <w:p w14:paraId="514E7F7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支持多次归档功能，如电子病历再次归档提交，则会以最新一次归档为准，并保留旧的归档内容，支持进行追溯查询。</w:t>
            </w:r>
          </w:p>
        </w:tc>
      </w:tr>
      <w:tr w14:paraId="116C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B7B98C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3FE90D1">
            <w:pPr>
              <w:spacing w:line="360" w:lineRule="auto"/>
              <w:jc w:val="center"/>
              <w:rPr>
                <w:rFonts w:hint="eastAsia" w:ascii="宋体" w:hAnsi="宋体" w:cs="宋体"/>
                <w:b/>
                <w:color w:val="auto"/>
                <w:szCs w:val="21"/>
                <w:highlight w:val="none"/>
              </w:rPr>
            </w:pPr>
          </w:p>
        </w:tc>
        <w:tc>
          <w:tcPr>
            <w:tcW w:w="6594" w:type="dxa"/>
            <w:noWrap w:val="0"/>
            <w:vAlign w:val="top"/>
          </w:tcPr>
          <w:p w14:paraId="4A84558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支持归档审核功能，可将有问题的病案返回至提交人，同时将问题信息进行发送，方便临床进行整改。</w:t>
            </w:r>
          </w:p>
        </w:tc>
      </w:tr>
      <w:tr w14:paraId="12A1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3260AE54">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85A3314">
            <w:pPr>
              <w:spacing w:line="360" w:lineRule="auto"/>
              <w:jc w:val="center"/>
              <w:rPr>
                <w:rFonts w:hint="eastAsia" w:ascii="宋体" w:hAnsi="宋体" w:cs="宋体"/>
                <w:b/>
                <w:color w:val="auto"/>
                <w:szCs w:val="21"/>
                <w:highlight w:val="none"/>
              </w:rPr>
            </w:pPr>
          </w:p>
        </w:tc>
        <w:tc>
          <w:tcPr>
            <w:tcW w:w="6594" w:type="dxa"/>
            <w:noWrap w:val="0"/>
            <w:vAlign w:val="top"/>
          </w:tcPr>
          <w:p w14:paraId="75E3293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归档召回功能，针对已归档并需要修改的病历，相关人员可以通过系统进行召回申请，病案管理部门同意后对当前归档病案进行备份并将病案置为召回状态，待病案再次提交后重新进行归档，系统会以最新归档病案为准，并将之前的归档病案进行留存，支持追溯查询。</w:t>
            </w:r>
          </w:p>
        </w:tc>
      </w:tr>
      <w:tr w14:paraId="6B5D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285021F">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B624E09">
            <w:pPr>
              <w:spacing w:line="360" w:lineRule="auto"/>
              <w:jc w:val="center"/>
              <w:rPr>
                <w:rFonts w:hint="eastAsia" w:ascii="宋体" w:hAnsi="宋体" w:cs="宋体"/>
                <w:b/>
                <w:color w:val="auto"/>
                <w:szCs w:val="21"/>
                <w:highlight w:val="none"/>
              </w:rPr>
            </w:pPr>
          </w:p>
        </w:tc>
        <w:tc>
          <w:tcPr>
            <w:tcW w:w="6594" w:type="dxa"/>
            <w:noWrap w:val="0"/>
            <w:vAlign w:val="top"/>
          </w:tcPr>
          <w:p w14:paraId="2B81FB8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支持已打印病案锁定功能，针对已打印病案进行记录，并对其锁定。禁止进行重新归档、修改、召回等操作。</w:t>
            </w:r>
          </w:p>
        </w:tc>
      </w:tr>
      <w:tr w14:paraId="1FBB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C0C6CB8">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9551B87">
            <w:pPr>
              <w:spacing w:line="360" w:lineRule="auto"/>
              <w:jc w:val="center"/>
              <w:rPr>
                <w:rFonts w:hint="eastAsia" w:ascii="宋体" w:hAnsi="宋体" w:cs="宋体"/>
                <w:b/>
                <w:color w:val="auto"/>
                <w:szCs w:val="21"/>
                <w:highlight w:val="none"/>
              </w:rPr>
            </w:pPr>
          </w:p>
        </w:tc>
        <w:tc>
          <w:tcPr>
            <w:tcW w:w="6594" w:type="dxa"/>
            <w:noWrap w:val="0"/>
            <w:vAlign w:val="top"/>
          </w:tcPr>
          <w:p w14:paraId="412EC60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支持对病案进行封存，封存的病案无法进行浏览及其他的任何操作，直到病案解封为止。</w:t>
            </w:r>
          </w:p>
        </w:tc>
      </w:tr>
      <w:tr w14:paraId="68EC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0AD2002E">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1355262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1.6病案质控</w:t>
            </w:r>
          </w:p>
        </w:tc>
        <w:tc>
          <w:tcPr>
            <w:tcW w:w="6594" w:type="dxa"/>
            <w:noWrap w:val="0"/>
            <w:vAlign w:val="top"/>
          </w:tcPr>
          <w:p w14:paraId="7A84182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支持质控医生主动添加质控意见。</w:t>
            </w:r>
          </w:p>
        </w:tc>
      </w:tr>
      <w:tr w14:paraId="3192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BF89928">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28D65FC">
            <w:pPr>
              <w:spacing w:line="360" w:lineRule="auto"/>
              <w:jc w:val="center"/>
              <w:rPr>
                <w:rFonts w:hint="eastAsia" w:ascii="宋体" w:hAnsi="宋体" w:cs="宋体"/>
                <w:b/>
                <w:color w:val="auto"/>
                <w:szCs w:val="21"/>
                <w:highlight w:val="none"/>
              </w:rPr>
            </w:pPr>
          </w:p>
        </w:tc>
        <w:tc>
          <w:tcPr>
            <w:tcW w:w="6594" w:type="dxa"/>
            <w:noWrap w:val="0"/>
            <w:vAlign w:val="top"/>
          </w:tcPr>
          <w:p w14:paraId="4A9FFF5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支持病案质控功能，可根据医院现有质控流程进行相关设置，如多级质控、医疗护理质控等。</w:t>
            </w:r>
          </w:p>
        </w:tc>
      </w:tr>
      <w:tr w14:paraId="3193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3BD23C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20110BA">
            <w:pPr>
              <w:spacing w:line="360" w:lineRule="auto"/>
              <w:jc w:val="center"/>
              <w:rPr>
                <w:rFonts w:hint="eastAsia" w:ascii="宋体" w:hAnsi="宋体" w:cs="宋体"/>
                <w:b/>
                <w:color w:val="auto"/>
                <w:szCs w:val="21"/>
                <w:highlight w:val="none"/>
              </w:rPr>
            </w:pPr>
          </w:p>
        </w:tc>
        <w:tc>
          <w:tcPr>
            <w:tcW w:w="6594" w:type="dxa"/>
            <w:noWrap w:val="0"/>
            <w:vAlign w:val="top"/>
          </w:tcPr>
          <w:p w14:paraId="25CEA56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支持质控时查看病案采集状态，监控病案待采集、采集中以及采集失败的病案，其中针对采集失败的病案支持可以查看具体失败原因，方便快速处理采集失败病案。</w:t>
            </w:r>
          </w:p>
        </w:tc>
      </w:tr>
      <w:tr w14:paraId="6D7F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7AAF203">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C96F467">
            <w:pPr>
              <w:spacing w:line="360" w:lineRule="auto"/>
              <w:jc w:val="center"/>
              <w:rPr>
                <w:rFonts w:hint="eastAsia" w:ascii="宋体" w:hAnsi="宋体" w:cs="宋体"/>
                <w:b/>
                <w:color w:val="auto"/>
                <w:szCs w:val="21"/>
                <w:highlight w:val="none"/>
              </w:rPr>
            </w:pPr>
          </w:p>
        </w:tc>
        <w:tc>
          <w:tcPr>
            <w:tcW w:w="6594" w:type="dxa"/>
            <w:noWrap w:val="0"/>
            <w:vAlign w:val="top"/>
          </w:tcPr>
          <w:p w14:paraId="10ADCE4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支持质控信息接口，支持质控医生主动添加质控意见，病案质控未通时实时推送质控未通过原因给相关第三方业务系统，方便医生随时查阅质控结果进行病案补充修改。</w:t>
            </w:r>
          </w:p>
        </w:tc>
      </w:tr>
      <w:tr w14:paraId="7323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B3CDFA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B00A6A2">
            <w:pPr>
              <w:spacing w:line="360" w:lineRule="auto"/>
              <w:jc w:val="center"/>
              <w:rPr>
                <w:rFonts w:hint="eastAsia" w:ascii="宋体" w:hAnsi="宋体" w:cs="宋体"/>
                <w:b/>
                <w:color w:val="auto"/>
                <w:szCs w:val="21"/>
                <w:highlight w:val="none"/>
              </w:rPr>
            </w:pPr>
          </w:p>
        </w:tc>
        <w:tc>
          <w:tcPr>
            <w:tcW w:w="6594" w:type="dxa"/>
            <w:noWrap w:val="0"/>
            <w:vAlign w:val="top"/>
          </w:tcPr>
          <w:p w14:paraId="44F553E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支持自动病案质控校验，可界面化配置自动校对规则，系统根据校验规则自动校验病案，并展示质控信息；</w:t>
            </w:r>
          </w:p>
        </w:tc>
      </w:tr>
      <w:tr w14:paraId="28BC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396E51A9">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202AB0B2">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1.7终末质控</w:t>
            </w:r>
          </w:p>
        </w:tc>
        <w:tc>
          <w:tcPr>
            <w:tcW w:w="6594" w:type="dxa"/>
            <w:noWrap w:val="0"/>
            <w:vAlign w:val="top"/>
          </w:tcPr>
          <w:p w14:paraId="2DAEBD6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bidi="ar"/>
              </w:rPr>
            </w:pPr>
            <w:r>
              <w:rPr>
                <w:rFonts w:hint="eastAsia" w:ascii="宋体" w:hAnsi="宋体" w:cs="宋体"/>
                <w:color w:val="auto"/>
                <w:szCs w:val="21"/>
                <w:highlight w:val="none"/>
                <w:lang w:eastAsia="zh-CN"/>
              </w:rPr>
              <w:t>支持终末质控功能，可以对病案进行终末质控评分。</w:t>
            </w:r>
            <w:r>
              <w:rPr>
                <w:rFonts w:hint="eastAsia" w:ascii="宋体" w:hAnsi="宋体" w:eastAsia="宋体" w:cs="宋体"/>
                <w:color w:val="auto"/>
                <w:szCs w:val="21"/>
                <w:highlight w:val="none"/>
                <w:lang w:val="en-US" w:eastAsia="zh-CN"/>
              </w:rPr>
              <w:t>支持典型病历模块将终末病历标记成典型病历或优秀病历。</w:t>
            </w:r>
          </w:p>
        </w:tc>
      </w:tr>
      <w:tr w14:paraId="6509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69A1E56">
            <w:pPr>
              <w:spacing w:line="360" w:lineRule="auto"/>
              <w:jc w:val="center"/>
              <w:rPr>
                <w:rFonts w:hint="eastAsia" w:ascii="宋体" w:hAnsi="宋体" w:cs="宋体"/>
                <w:color w:val="auto"/>
                <w:kern w:val="0"/>
                <w:szCs w:val="21"/>
                <w:highlight w:val="none"/>
                <w:lang w:bidi="ar"/>
              </w:rPr>
            </w:pPr>
          </w:p>
        </w:tc>
        <w:tc>
          <w:tcPr>
            <w:tcW w:w="1476" w:type="dxa"/>
            <w:vMerge w:val="continue"/>
            <w:noWrap w:val="0"/>
            <w:vAlign w:val="center"/>
          </w:tcPr>
          <w:p w14:paraId="22D7AF98">
            <w:pPr>
              <w:spacing w:line="360" w:lineRule="auto"/>
              <w:jc w:val="center"/>
              <w:rPr>
                <w:rFonts w:hint="eastAsia" w:ascii="宋体" w:hAnsi="宋体" w:cs="宋体"/>
                <w:color w:val="auto"/>
                <w:kern w:val="0"/>
                <w:szCs w:val="21"/>
                <w:highlight w:val="none"/>
                <w:lang w:bidi="ar"/>
              </w:rPr>
            </w:pPr>
          </w:p>
        </w:tc>
        <w:tc>
          <w:tcPr>
            <w:tcW w:w="6594" w:type="dxa"/>
            <w:noWrap w:val="0"/>
            <w:vAlign w:val="top"/>
          </w:tcPr>
          <w:p w14:paraId="087204B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支持终末质控项自定义，可以对扣分内容，扣分原因，扣分类型进行设置，并支持对病案等级进行配置，根据配置分数进行甲乙丙级病例自动判断。</w:t>
            </w:r>
          </w:p>
        </w:tc>
      </w:tr>
      <w:tr w14:paraId="272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D32C5A1">
            <w:pPr>
              <w:spacing w:line="360" w:lineRule="auto"/>
              <w:jc w:val="center"/>
              <w:rPr>
                <w:rFonts w:hint="eastAsia" w:ascii="宋体" w:hAnsi="宋体" w:cs="宋体"/>
                <w:color w:val="auto"/>
                <w:kern w:val="0"/>
                <w:szCs w:val="21"/>
                <w:highlight w:val="none"/>
                <w:lang w:bidi="ar"/>
              </w:rPr>
            </w:pPr>
          </w:p>
        </w:tc>
        <w:tc>
          <w:tcPr>
            <w:tcW w:w="1476" w:type="dxa"/>
            <w:vMerge w:val="continue"/>
            <w:noWrap w:val="0"/>
            <w:vAlign w:val="center"/>
          </w:tcPr>
          <w:p w14:paraId="2BB583E6">
            <w:pPr>
              <w:spacing w:line="360" w:lineRule="auto"/>
              <w:jc w:val="center"/>
              <w:rPr>
                <w:rFonts w:hint="eastAsia" w:ascii="宋体" w:hAnsi="宋体" w:cs="宋体"/>
                <w:color w:val="auto"/>
                <w:kern w:val="0"/>
                <w:szCs w:val="21"/>
                <w:highlight w:val="none"/>
                <w:lang w:bidi="ar"/>
              </w:rPr>
            </w:pPr>
          </w:p>
        </w:tc>
        <w:tc>
          <w:tcPr>
            <w:tcW w:w="6594" w:type="dxa"/>
            <w:noWrap w:val="0"/>
            <w:vAlign w:val="top"/>
          </w:tcPr>
          <w:p w14:paraId="7597ADA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支持终末质控数据统计，支持科室质控问题报表、终末质控缺陷数量统计 、终末质控审核人员工作量统计、缺陷列表统计报表。</w:t>
            </w:r>
          </w:p>
        </w:tc>
      </w:tr>
      <w:tr w14:paraId="58F0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665F20F">
            <w:pPr>
              <w:spacing w:line="360" w:lineRule="auto"/>
              <w:jc w:val="center"/>
              <w:rPr>
                <w:rFonts w:hint="eastAsia" w:ascii="宋体" w:hAnsi="宋体" w:cs="宋体"/>
                <w:color w:val="auto"/>
                <w:kern w:val="0"/>
                <w:szCs w:val="21"/>
                <w:highlight w:val="none"/>
                <w:lang w:bidi="ar"/>
              </w:rPr>
            </w:pPr>
          </w:p>
        </w:tc>
        <w:tc>
          <w:tcPr>
            <w:tcW w:w="1476" w:type="dxa"/>
            <w:vMerge w:val="continue"/>
            <w:noWrap w:val="0"/>
            <w:vAlign w:val="center"/>
          </w:tcPr>
          <w:p w14:paraId="392182B1">
            <w:pPr>
              <w:spacing w:line="360" w:lineRule="auto"/>
              <w:jc w:val="center"/>
              <w:rPr>
                <w:rFonts w:hint="eastAsia" w:ascii="宋体" w:hAnsi="宋体" w:cs="宋体"/>
                <w:color w:val="auto"/>
                <w:kern w:val="0"/>
                <w:szCs w:val="21"/>
                <w:highlight w:val="none"/>
                <w:lang w:bidi="ar"/>
              </w:rPr>
            </w:pPr>
          </w:p>
        </w:tc>
        <w:tc>
          <w:tcPr>
            <w:tcW w:w="6594" w:type="dxa"/>
            <w:noWrap w:val="0"/>
            <w:vAlign w:val="top"/>
          </w:tcPr>
          <w:p w14:paraId="28534FA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支持终末质控评分内容修改功能，根据权限控制，可对已终末质控部分进行相关修改、删除、增加操作，并保留修改痕迹。</w:t>
            </w:r>
          </w:p>
        </w:tc>
      </w:tr>
      <w:tr w14:paraId="5749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35460F50">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7B34D704">
            <w:pPr>
              <w:spacing w:line="360" w:lineRule="auto"/>
              <w:jc w:val="center"/>
              <w:rPr>
                <w:rFonts w:hint="eastAsia" w:ascii="宋体" w:hAnsi="宋体" w:cs="宋体"/>
                <w:color w:val="auto"/>
                <w:kern w:val="0"/>
                <w:szCs w:val="21"/>
                <w:highlight w:val="none"/>
                <w:lang w:bidi="ar"/>
              </w:rPr>
            </w:pPr>
            <w:r>
              <w:rPr>
                <w:rFonts w:hint="eastAsia" w:ascii="宋体" w:hAnsi="宋体" w:cs="宋体"/>
                <w:b/>
                <w:color w:val="auto"/>
                <w:szCs w:val="21"/>
                <w:highlight w:val="none"/>
              </w:rPr>
              <w:t>1.8统计报表</w:t>
            </w:r>
          </w:p>
        </w:tc>
        <w:tc>
          <w:tcPr>
            <w:tcW w:w="6594" w:type="dxa"/>
            <w:noWrap w:val="0"/>
            <w:vAlign w:val="top"/>
          </w:tcPr>
          <w:p w14:paraId="4CFAE20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具备科室归档率统计报表，支持统计查看各科室3日、5日、7日归档率，快速追踪各科室归档率；支持归档率按科室精确到具体患者归档时间。</w:t>
            </w:r>
          </w:p>
        </w:tc>
      </w:tr>
      <w:tr w14:paraId="5145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5AE38F7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F4BD8D4">
            <w:pPr>
              <w:spacing w:line="360" w:lineRule="auto"/>
              <w:jc w:val="center"/>
              <w:rPr>
                <w:rFonts w:hint="eastAsia" w:ascii="宋体" w:hAnsi="宋体" w:cs="宋体"/>
                <w:b/>
                <w:color w:val="auto"/>
                <w:szCs w:val="21"/>
                <w:highlight w:val="none"/>
              </w:rPr>
            </w:pPr>
          </w:p>
        </w:tc>
        <w:tc>
          <w:tcPr>
            <w:tcW w:w="6594" w:type="dxa"/>
            <w:noWrap w:val="0"/>
            <w:vAlign w:val="top"/>
          </w:tcPr>
          <w:p w14:paraId="1A3DA70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具备采集状态统计报表，支持统计医院各业务系统或临床数据平台的采集状态，可展示各系统病案报告的采集失败数量以及成功数量，可精确到具体病案号并展示采集失败原因，方便根据具体病案号与业务系统追踪具体采集失败原因解决采集失败问题。</w:t>
            </w:r>
          </w:p>
        </w:tc>
      </w:tr>
      <w:tr w14:paraId="37EF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DFFA961">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5FCBECF">
            <w:pPr>
              <w:spacing w:line="360" w:lineRule="auto"/>
              <w:jc w:val="center"/>
              <w:rPr>
                <w:rFonts w:hint="eastAsia" w:ascii="宋体" w:hAnsi="宋体" w:cs="宋体"/>
                <w:b/>
                <w:color w:val="auto"/>
                <w:szCs w:val="21"/>
                <w:highlight w:val="none"/>
              </w:rPr>
            </w:pPr>
          </w:p>
        </w:tc>
        <w:tc>
          <w:tcPr>
            <w:tcW w:w="6594" w:type="dxa"/>
            <w:noWrap w:val="0"/>
            <w:vAlign w:val="top"/>
          </w:tcPr>
          <w:p w14:paraId="520E500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质控率统计报表，支持统计医院各科室病历总量、质控总量、质控通过量、质控不通过量、质控率；支持按科室精确展示科室患者质控结果。</w:t>
            </w:r>
          </w:p>
        </w:tc>
      </w:tr>
      <w:tr w14:paraId="7CEB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510DFB3">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251DAC6">
            <w:pPr>
              <w:spacing w:line="360" w:lineRule="auto"/>
              <w:jc w:val="center"/>
              <w:rPr>
                <w:rFonts w:hint="eastAsia" w:ascii="宋体" w:hAnsi="宋体" w:cs="宋体"/>
                <w:b/>
                <w:color w:val="auto"/>
                <w:szCs w:val="21"/>
                <w:highlight w:val="none"/>
              </w:rPr>
            </w:pPr>
          </w:p>
        </w:tc>
        <w:tc>
          <w:tcPr>
            <w:tcW w:w="6594" w:type="dxa"/>
            <w:noWrap w:val="0"/>
            <w:vAlign w:val="top"/>
          </w:tcPr>
          <w:p w14:paraId="2B5D721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具备对打印信息进行统计的功能，支持统计科室人员打印工作量、打印数量、病案打印次数等。</w:t>
            </w:r>
          </w:p>
        </w:tc>
      </w:tr>
      <w:tr w14:paraId="67EA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7ECCA9E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8C669B2">
            <w:pPr>
              <w:spacing w:line="360" w:lineRule="auto"/>
              <w:jc w:val="center"/>
              <w:rPr>
                <w:rFonts w:hint="eastAsia" w:ascii="宋体" w:hAnsi="宋体" w:cs="宋体"/>
                <w:b/>
                <w:color w:val="auto"/>
                <w:szCs w:val="21"/>
                <w:highlight w:val="none"/>
              </w:rPr>
            </w:pPr>
          </w:p>
        </w:tc>
        <w:tc>
          <w:tcPr>
            <w:tcW w:w="6594" w:type="dxa"/>
            <w:noWrap w:val="0"/>
            <w:vAlign w:val="top"/>
          </w:tcPr>
          <w:p w14:paraId="29C4EE9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具备脱纸率统计报表，脱纸率</w:t>
            </w:r>
            <w:r>
              <w:rPr>
                <w:rFonts w:hint="eastAsia" w:ascii="宋体" w:hAnsi="宋体" w:cs="宋体"/>
                <w:color w:val="auto"/>
                <w:szCs w:val="21"/>
                <w:highlight w:val="none"/>
                <w:lang w:val="en-US" w:eastAsia="zh-CN"/>
              </w:rPr>
              <w:t>应达到95%以上。</w:t>
            </w:r>
            <w:r>
              <w:rPr>
                <w:rFonts w:hint="eastAsia" w:ascii="宋体" w:hAnsi="宋体" w:cs="宋体"/>
                <w:color w:val="auto"/>
                <w:szCs w:val="21"/>
                <w:highlight w:val="none"/>
                <w:lang w:eastAsia="zh-CN"/>
              </w:rPr>
              <w:t>支持界面化设置应脱纸却未脱纸分类判断设置，可统计各科室时间段内病案总数、未脱纸量、已脱纸量、应脱未脱量、脱纸率;支持统计科室内精确到每份病案脱纸率；支持可根据行为</w:t>
            </w:r>
          </w:p>
        </w:tc>
      </w:tr>
      <w:tr w14:paraId="5CF9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ED0D9C7">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6315027">
            <w:pPr>
              <w:spacing w:line="360" w:lineRule="auto"/>
              <w:jc w:val="center"/>
              <w:rPr>
                <w:rFonts w:hint="eastAsia" w:ascii="宋体" w:hAnsi="宋体" w:cs="宋体"/>
                <w:b/>
                <w:color w:val="auto"/>
                <w:szCs w:val="21"/>
                <w:highlight w:val="none"/>
              </w:rPr>
            </w:pPr>
          </w:p>
        </w:tc>
        <w:tc>
          <w:tcPr>
            <w:tcW w:w="6594" w:type="dxa"/>
            <w:noWrap w:val="0"/>
            <w:vAlign w:val="top"/>
          </w:tcPr>
          <w:p w14:paraId="558F748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支持质控记录统计，可统计质控通过病历，也可统计质控不通过的缺陷病历，可展示质控状态，质控问题。</w:t>
            </w:r>
          </w:p>
        </w:tc>
      </w:tr>
      <w:tr w14:paraId="043C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shd w:val="clear" w:color="auto" w:fill="auto"/>
            <w:noWrap w:val="0"/>
            <w:vAlign w:val="center"/>
          </w:tcPr>
          <w:p w14:paraId="1C46A95C">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7545007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1.9病案浏览</w:t>
            </w:r>
          </w:p>
        </w:tc>
        <w:tc>
          <w:tcPr>
            <w:tcW w:w="6594" w:type="dxa"/>
            <w:noWrap w:val="0"/>
            <w:vAlign w:val="top"/>
          </w:tcPr>
          <w:p w14:paraId="4F360D3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具备病案信息综合查询，支持精确查询模式，可以根据病案号、住院号、唯一号进行精确查询；支持复合查询模式，可以通过出入院时间、科室、诊断信息、手术信息等复合条件进行病案查询；支持快速搜索模式，可输入关键字进行病案信息的自动搜索，支持多关键字搜索。</w:t>
            </w:r>
          </w:p>
        </w:tc>
      </w:tr>
      <w:tr w14:paraId="1373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AF961EC">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F1DA566">
            <w:pPr>
              <w:spacing w:line="360" w:lineRule="auto"/>
              <w:jc w:val="center"/>
              <w:rPr>
                <w:rFonts w:hint="eastAsia" w:ascii="宋体" w:hAnsi="宋体" w:cs="宋体"/>
                <w:b/>
                <w:color w:val="auto"/>
                <w:szCs w:val="21"/>
                <w:highlight w:val="none"/>
              </w:rPr>
            </w:pPr>
          </w:p>
        </w:tc>
        <w:tc>
          <w:tcPr>
            <w:tcW w:w="6594" w:type="dxa"/>
            <w:noWrap w:val="0"/>
            <w:vAlign w:val="top"/>
          </w:tcPr>
          <w:p w14:paraId="1D6C363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浏览时目录根据病案归档规则顺序进行排序，形成完整的病案树。</w:t>
            </w:r>
          </w:p>
        </w:tc>
      </w:tr>
      <w:tr w14:paraId="7A5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23BA7A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EE16837">
            <w:pPr>
              <w:spacing w:line="360" w:lineRule="auto"/>
              <w:jc w:val="center"/>
              <w:rPr>
                <w:rFonts w:hint="eastAsia" w:ascii="宋体" w:hAnsi="宋体" w:cs="宋体"/>
                <w:b/>
                <w:color w:val="auto"/>
                <w:szCs w:val="21"/>
                <w:highlight w:val="none"/>
              </w:rPr>
            </w:pPr>
          </w:p>
        </w:tc>
        <w:tc>
          <w:tcPr>
            <w:tcW w:w="6594" w:type="dxa"/>
            <w:noWrap w:val="0"/>
            <w:vAlign w:val="top"/>
          </w:tcPr>
          <w:p w14:paraId="207A46E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支持病案浏览调整功能，可对报告进行旋转、放大、缩小、拖动操作。</w:t>
            </w:r>
          </w:p>
        </w:tc>
      </w:tr>
      <w:tr w14:paraId="2DE6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63547DB2">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4985FF0">
            <w:pPr>
              <w:spacing w:line="360" w:lineRule="auto"/>
              <w:jc w:val="center"/>
              <w:rPr>
                <w:rFonts w:hint="eastAsia" w:ascii="宋体" w:hAnsi="宋体" w:cs="宋体"/>
                <w:b/>
                <w:color w:val="auto"/>
                <w:szCs w:val="21"/>
                <w:highlight w:val="none"/>
              </w:rPr>
            </w:pPr>
          </w:p>
        </w:tc>
        <w:tc>
          <w:tcPr>
            <w:tcW w:w="6594" w:type="dxa"/>
            <w:noWrap w:val="0"/>
            <w:vAlign w:val="top"/>
          </w:tcPr>
          <w:p w14:paraId="7BADF42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满足因工作需要查看电子病历时，电子病历有拍照无效等水印字样，确保病历信息安全。支持浏览水印功能，通过对当前浏览报告添加数字水印，并可自定义水印内容，防止当前病案被翻拍、截图、以及打印。</w:t>
            </w:r>
          </w:p>
        </w:tc>
      </w:tr>
      <w:tr w14:paraId="1687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55892E3">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0E12833">
            <w:pPr>
              <w:spacing w:line="360" w:lineRule="auto"/>
              <w:jc w:val="center"/>
              <w:rPr>
                <w:rFonts w:hint="eastAsia" w:ascii="宋体" w:hAnsi="宋体" w:cs="宋体"/>
                <w:b/>
                <w:color w:val="auto"/>
                <w:szCs w:val="21"/>
                <w:highlight w:val="none"/>
              </w:rPr>
            </w:pPr>
          </w:p>
        </w:tc>
        <w:tc>
          <w:tcPr>
            <w:tcW w:w="6594" w:type="dxa"/>
            <w:noWrap w:val="0"/>
            <w:vAlign w:val="top"/>
          </w:tcPr>
          <w:p w14:paraId="08BBF48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支持时间轴功能，浏览时可查看病案时间轴，显示病人入出院信息、归档信息、采集信息、质控信息、浏览信息、打印信息、导出信息。</w:t>
            </w:r>
          </w:p>
        </w:tc>
      </w:tr>
      <w:tr w14:paraId="1C9F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662A0708">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6BB1FEF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1.10病案标签</w:t>
            </w:r>
          </w:p>
        </w:tc>
        <w:tc>
          <w:tcPr>
            <w:tcW w:w="6594" w:type="dxa"/>
            <w:noWrap w:val="0"/>
            <w:vAlign w:val="top"/>
          </w:tcPr>
          <w:p w14:paraId="054860A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支持自定义标签。</w:t>
            </w:r>
          </w:p>
        </w:tc>
      </w:tr>
      <w:tr w14:paraId="596B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70B5864">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788964F">
            <w:pPr>
              <w:spacing w:line="360" w:lineRule="auto"/>
              <w:jc w:val="center"/>
              <w:rPr>
                <w:rFonts w:hint="eastAsia" w:ascii="宋体" w:hAnsi="宋体" w:cs="宋体"/>
                <w:b/>
                <w:color w:val="auto"/>
                <w:szCs w:val="21"/>
                <w:highlight w:val="none"/>
              </w:rPr>
            </w:pPr>
          </w:p>
        </w:tc>
        <w:tc>
          <w:tcPr>
            <w:tcW w:w="6594" w:type="dxa"/>
            <w:noWrap w:val="0"/>
            <w:vAlign w:val="top"/>
          </w:tcPr>
          <w:p w14:paraId="386A8C0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支持给病案添加自定义标签。</w:t>
            </w:r>
          </w:p>
        </w:tc>
      </w:tr>
      <w:tr w14:paraId="51CB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100" w:type="dxa"/>
            <w:vMerge w:val="continue"/>
            <w:noWrap w:val="0"/>
            <w:vAlign w:val="center"/>
          </w:tcPr>
          <w:p w14:paraId="221C7FFA">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5C3FD42">
            <w:pPr>
              <w:spacing w:line="360" w:lineRule="auto"/>
              <w:jc w:val="center"/>
              <w:rPr>
                <w:rFonts w:hint="eastAsia" w:ascii="宋体" w:hAnsi="宋体" w:cs="宋体"/>
                <w:b/>
                <w:color w:val="auto"/>
                <w:szCs w:val="21"/>
                <w:highlight w:val="none"/>
              </w:rPr>
            </w:pPr>
          </w:p>
        </w:tc>
        <w:tc>
          <w:tcPr>
            <w:tcW w:w="6594" w:type="dxa"/>
            <w:noWrap w:val="0"/>
            <w:vAlign w:val="top"/>
          </w:tcPr>
          <w:p w14:paraId="1324411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支持根据标签进行病案的查询。</w:t>
            </w:r>
          </w:p>
        </w:tc>
      </w:tr>
      <w:tr w14:paraId="4563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7119C070">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2C2F225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1.11病案备注</w:t>
            </w:r>
          </w:p>
        </w:tc>
        <w:tc>
          <w:tcPr>
            <w:tcW w:w="6594" w:type="dxa"/>
            <w:noWrap w:val="0"/>
            <w:vAlign w:val="top"/>
          </w:tcPr>
          <w:p w14:paraId="385189D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病案浏览时可以添加病案备注，对病案进行备注，可供所有查看此病案的人查看。</w:t>
            </w:r>
          </w:p>
        </w:tc>
      </w:tr>
      <w:tr w14:paraId="0630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126F764">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39A3B62">
            <w:pPr>
              <w:spacing w:line="360" w:lineRule="auto"/>
              <w:jc w:val="center"/>
              <w:rPr>
                <w:rFonts w:hint="eastAsia" w:ascii="宋体" w:hAnsi="宋体" w:cs="宋体"/>
                <w:b/>
                <w:color w:val="auto"/>
                <w:szCs w:val="21"/>
                <w:highlight w:val="none"/>
              </w:rPr>
            </w:pPr>
          </w:p>
        </w:tc>
        <w:tc>
          <w:tcPr>
            <w:tcW w:w="6594" w:type="dxa"/>
            <w:noWrap w:val="0"/>
            <w:vAlign w:val="top"/>
          </w:tcPr>
          <w:p w14:paraId="008EC7C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可查询所有病案备注，从而查找到相应所需病案。</w:t>
            </w:r>
          </w:p>
        </w:tc>
      </w:tr>
      <w:tr w14:paraId="2360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5DA6BFB6">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9A79F9A">
            <w:pPr>
              <w:spacing w:line="360" w:lineRule="auto"/>
              <w:jc w:val="center"/>
              <w:rPr>
                <w:rFonts w:hint="eastAsia" w:ascii="宋体" w:hAnsi="宋体" w:cs="宋体"/>
                <w:b/>
                <w:color w:val="auto"/>
                <w:szCs w:val="21"/>
                <w:highlight w:val="none"/>
              </w:rPr>
            </w:pPr>
          </w:p>
        </w:tc>
        <w:tc>
          <w:tcPr>
            <w:tcW w:w="6594" w:type="dxa"/>
            <w:noWrap w:val="0"/>
            <w:vAlign w:val="top"/>
          </w:tcPr>
          <w:p w14:paraId="51958A8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可删除自己对病案进行的备注 。</w:t>
            </w:r>
          </w:p>
        </w:tc>
      </w:tr>
      <w:tr w14:paraId="5FFD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6C07C9AC">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7020282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1.12病案借阅</w:t>
            </w:r>
          </w:p>
        </w:tc>
        <w:tc>
          <w:tcPr>
            <w:tcW w:w="6594" w:type="dxa"/>
            <w:noWrap w:val="0"/>
            <w:vAlign w:val="top"/>
          </w:tcPr>
          <w:p w14:paraId="269CE65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支持通过病案信息进行病案检索，并申请借阅。</w:t>
            </w:r>
          </w:p>
        </w:tc>
      </w:tr>
      <w:tr w14:paraId="52D1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083479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4998184">
            <w:pPr>
              <w:spacing w:line="360" w:lineRule="auto"/>
              <w:jc w:val="center"/>
              <w:rPr>
                <w:rFonts w:hint="eastAsia" w:ascii="宋体" w:hAnsi="宋体" w:cs="宋体"/>
                <w:b/>
                <w:color w:val="auto"/>
                <w:szCs w:val="21"/>
                <w:highlight w:val="none"/>
              </w:rPr>
            </w:pPr>
          </w:p>
        </w:tc>
        <w:tc>
          <w:tcPr>
            <w:tcW w:w="6594" w:type="dxa"/>
            <w:noWrap w:val="0"/>
            <w:vAlign w:val="top"/>
          </w:tcPr>
          <w:p w14:paraId="5B58ED7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支持病案借阅申请，科室人员可通过系统进行申请，上报到病案管理部门。支持选择申请天数以及申请分类。</w:t>
            </w:r>
          </w:p>
        </w:tc>
      </w:tr>
      <w:tr w14:paraId="53B1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26AB3BE">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1081037">
            <w:pPr>
              <w:spacing w:line="360" w:lineRule="auto"/>
              <w:jc w:val="center"/>
              <w:rPr>
                <w:rFonts w:hint="eastAsia" w:ascii="宋体" w:hAnsi="宋体" w:cs="宋体"/>
                <w:b/>
                <w:color w:val="auto"/>
                <w:szCs w:val="21"/>
                <w:highlight w:val="none"/>
              </w:rPr>
            </w:pPr>
          </w:p>
        </w:tc>
        <w:tc>
          <w:tcPr>
            <w:tcW w:w="6594" w:type="dxa"/>
            <w:noWrap w:val="0"/>
            <w:vAlign w:val="top"/>
          </w:tcPr>
          <w:p w14:paraId="5FE2799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支持病案审批功能，病案管理部门收到科室人员借阅信息即可对其进行审批，可修改相关申请的申请天数、申请分类等。</w:t>
            </w:r>
          </w:p>
        </w:tc>
      </w:tr>
      <w:tr w14:paraId="7F4D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96F51B9">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5703B57">
            <w:pPr>
              <w:spacing w:line="360" w:lineRule="auto"/>
              <w:jc w:val="center"/>
              <w:rPr>
                <w:rFonts w:hint="eastAsia" w:ascii="宋体" w:hAnsi="宋体" w:cs="宋体"/>
                <w:b/>
                <w:color w:val="auto"/>
                <w:szCs w:val="21"/>
                <w:highlight w:val="none"/>
              </w:rPr>
            </w:pPr>
          </w:p>
        </w:tc>
        <w:tc>
          <w:tcPr>
            <w:tcW w:w="6594" w:type="dxa"/>
            <w:noWrap w:val="0"/>
            <w:vAlign w:val="top"/>
          </w:tcPr>
          <w:p w14:paraId="4741F8D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审批通过后，即可进行病案浏览，支持水印功能、时间轴功能。</w:t>
            </w:r>
          </w:p>
        </w:tc>
      </w:tr>
      <w:tr w14:paraId="2250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860508C">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25E1BBD">
            <w:pPr>
              <w:spacing w:line="360" w:lineRule="auto"/>
              <w:jc w:val="center"/>
              <w:rPr>
                <w:rFonts w:hint="eastAsia" w:ascii="宋体" w:hAnsi="宋体" w:cs="宋体"/>
                <w:b/>
                <w:color w:val="auto"/>
                <w:szCs w:val="21"/>
                <w:highlight w:val="none"/>
              </w:rPr>
            </w:pPr>
          </w:p>
        </w:tc>
        <w:tc>
          <w:tcPr>
            <w:tcW w:w="6594" w:type="dxa"/>
            <w:noWrap w:val="0"/>
            <w:vAlign w:val="top"/>
          </w:tcPr>
          <w:p w14:paraId="69DE95B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支持自动收回功能，借阅天数过期后，自动进行病案阅读权限收回操作。</w:t>
            </w:r>
          </w:p>
        </w:tc>
      </w:tr>
      <w:tr w14:paraId="73E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C805876">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3496AC0">
            <w:pPr>
              <w:spacing w:line="360" w:lineRule="auto"/>
              <w:jc w:val="center"/>
              <w:rPr>
                <w:rFonts w:hint="eastAsia" w:ascii="宋体" w:hAnsi="宋体" w:cs="宋体"/>
                <w:b/>
                <w:color w:val="auto"/>
                <w:szCs w:val="21"/>
                <w:highlight w:val="none"/>
              </w:rPr>
            </w:pPr>
          </w:p>
        </w:tc>
        <w:tc>
          <w:tcPr>
            <w:tcW w:w="6594" w:type="dxa"/>
            <w:noWrap w:val="0"/>
            <w:vAlign w:val="top"/>
          </w:tcPr>
          <w:p w14:paraId="6AA351F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支持批量借阅功能。</w:t>
            </w:r>
          </w:p>
        </w:tc>
      </w:tr>
      <w:tr w14:paraId="6194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324D001">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35247B9D">
            <w:pPr>
              <w:spacing w:line="360" w:lineRule="auto"/>
              <w:jc w:val="center"/>
              <w:rPr>
                <w:rFonts w:hint="eastAsia" w:ascii="宋体" w:hAnsi="宋体" w:cs="宋体"/>
                <w:b/>
                <w:color w:val="auto"/>
                <w:szCs w:val="21"/>
                <w:highlight w:val="none"/>
              </w:rPr>
            </w:pPr>
          </w:p>
        </w:tc>
        <w:tc>
          <w:tcPr>
            <w:tcW w:w="6594" w:type="dxa"/>
            <w:noWrap w:val="0"/>
            <w:vAlign w:val="top"/>
          </w:tcPr>
          <w:p w14:paraId="0A80259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支持借阅预设功能，可以根据科室对相关病案进行阅读权限设置，权限会预设该科室病案借阅的时间、借阅的可视内容。</w:t>
            </w:r>
          </w:p>
        </w:tc>
      </w:tr>
      <w:tr w14:paraId="1AC1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10EF8BC6">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5C9A624C">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1.13病案打印</w:t>
            </w:r>
          </w:p>
        </w:tc>
        <w:tc>
          <w:tcPr>
            <w:tcW w:w="6594" w:type="dxa"/>
            <w:noWrap w:val="0"/>
            <w:vAlign w:val="top"/>
          </w:tcPr>
          <w:p w14:paraId="4A3BE7D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支持病案检索功能，可通过病案号、住院号进行查询需打印的病案。</w:t>
            </w:r>
          </w:p>
        </w:tc>
      </w:tr>
      <w:tr w14:paraId="05E8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BE80D4B">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F202E6E">
            <w:pPr>
              <w:spacing w:line="360" w:lineRule="auto"/>
              <w:jc w:val="center"/>
              <w:rPr>
                <w:rFonts w:hint="eastAsia" w:ascii="宋体" w:hAnsi="宋体" w:cs="宋体"/>
                <w:b/>
                <w:color w:val="auto"/>
                <w:szCs w:val="21"/>
                <w:highlight w:val="none"/>
              </w:rPr>
            </w:pPr>
          </w:p>
        </w:tc>
        <w:tc>
          <w:tcPr>
            <w:tcW w:w="6594" w:type="dxa"/>
            <w:noWrap w:val="0"/>
            <w:vAlign w:val="top"/>
          </w:tcPr>
          <w:p w14:paraId="4330521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支持打印参数设置功能，可选择单页、单份、批量打印、打印时是否生成水印。</w:t>
            </w:r>
          </w:p>
        </w:tc>
      </w:tr>
      <w:tr w14:paraId="05FF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3D51275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334317A">
            <w:pPr>
              <w:spacing w:line="360" w:lineRule="auto"/>
              <w:jc w:val="center"/>
              <w:rPr>
                <w:rFonts w:hint="eastAsia" w:ascii="宋体" w:hAnsi="宋体" w:cs="宋体"/>
                <w:b/>
                <w:color w:val="auto"/>
                <w:szCs w:val="21"/>
                <w:highlight w:val="none"/>
              </w:rPr>
            </w:pPr>
          </w:p>
        </w:tc>
        <w:tc>
          <w:tcPr>
            <w:tcW w:w="6594" w:type="dxa"/>
            <w:noWrap w:val="0"/>
            <w:vAlign w:val="top"/>
          </w:tcPr>
          <w:p w14:paraId="39D8E2F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支持选择黑白或彩色打印。</w:t>
            </w:r>
          </w:p>
        </w:tc>
      </w:tr>
      <w:tr w14:paraId="0EBA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D3F13D6">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A2A1731">
            <w:pPr>
              <w:spacing w:line="360" w:lineRule="auto"/>
              <w:jc w:val="center"/>
              <w:rPr>
                <w:rFonts w:hint="eastAsia" w:ascii="宋体" w:hAnsi="宋体" w:cs="宋体"/>
                <w:b/>
                <w:color w:val="auto"/>
                <w:szCs w:val="21"/>
                <w:highlight w:val="none"/>
              </w:rPr>
            </w:pPr>
          </w:p>
        </w:tc>
        <w:tc>
          <w:tcPr>
            <w:tcW w:w="6594" w:type="dxa"/>
            <w:noWrap w:val="0"/>
            <w:vAlign w:val="top"/>
          </w:tcPr>
          <w:p w14:paraId="0AA41C9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支持身份证读取检索功能，通过身份证读卡器对患者身份证进行读取，并自动查询相关患者病案信息。</w:t>
            </w:r>
          </w:p>
        </w:tc>
      </w:tr>
      <w:tr w14:paraId="5EFA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9314D71">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2DD09AC">
            <w:pPr>
              <w:spacing w:line="360" w:lineRule="auto"/>
              <w:jc w:val="center"/>
              <w:rPr>
                <w:rFonts w:hint="eastAsia" w:ascii="宋体" w:hAnsi="宋体" w:cs="宋体"/>
                <w:b/>
                <w:color w:val="auto"/>
                <w:szCs w:val="21"/>
                <w:highlight w:val="none"/>
              </w:rPr>
            </w:pPr>
          </w:p>
        </w:tc>
        <w:tc>
          <w:tcPr>
            <w:tcW w:w="6594" w:type="dxa"/>
            <w:noWrap w:val="0"/>
            <w:vAlign w:val="top"/>
          </w:tcPr>
          <w:p w14:paraId="3D9588D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支持预设打印套餐，可自定义套餐种类如医保、商业保险、慢性病等，并可一次打印多份，自动计算张数及费用。</w:t>
            </w:r>
          </w:p>
        </w:tc>
      </w:tr>
      <w:tr w14:paraId="768F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C6B70C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105DE2E">
            <w:pPr>
              <w:spacing w:line="360" w:lineRule="auto"/>
              <w:jc w:val="center"/>
              <w:rPr>
                <w:rFonts w:hint="eastAsia" w:ascii="宋体" w:hAnsi="宋体" w:cs="宋体"/>
                <w:b/>
                <w:color w:val="auto"/>
                <w:szCs w:val="21"/>
                <w:highlight w:val="none"/>
              </w:rPr>
            </w:pPr>
          </w:p>
        </w:tc>
        <w:tc>
          <w:tcPr>
            <w:tcW w:w="6594" w:type="dxa"/>
            <w:noWrap w:val="0"/>
            <w:vAlign w:val="top"/>
          </w:tcPr>
          <w:p w14:paraId="2CBA29E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支持电子复印申请单生成功能。</w:t>
            </w:r>
          </w:p>
        </w:tc>
      </w:tr>
      <w:tr w14:paraId="69C2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62B24FE6">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B527464">
            <w:pPr>
              <w:spacing w:line="360" w:lineRule="auto"/>
              <w:jc w:val="center"/>
              <w:rPr>
                <w:rFonts w:hint="eastAsia" w:ascii="宋体" w:hAnsi="宋体" w:cs="宋体"/>
                <w:b/>
                <w:color w:val="auto"/>
                <w:szCs w:val="21"/>
                <w:highlight w:val="none"/>
              </w:rPr>
            </w:pPr>
          </w:p>
        </w:tc>
        <w:tc>
          <w:tcPr>
            <w:tcW w:w="6594" w:type="dxa"/>
            <w:noWrap w:val="0"/>
            <w:vAlign w:val="top"/>
          </w:tcPr>
          <w:p w14:paraId="17C77AC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支持使用身份证读卡器、高拍仪、摄像头对打印患者身份证信息、其他委托人证件信息、人像信息、委托书、保险单、工作证等进行拍摄留存。</w:t>
            </w:r>
          </w:p>
        </w:tc>
      </w:tr>
      <w:tr w14:paraId="11BC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38C49B8E">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C51C596">
            <w:pPr>
              <w:spacing w:line="360" w:lineRule="auto"/>
              <w:jc w:val="center"/>
              <w:rPr>
                <w:rFonts w:hint="eastAsia" w:ascii="宋体" w:hAnsi="宋体" w:cs="宋体"/>
                <w:b/>
                <w:color w:val="auto"/>
                <w:szCs w:val="21"/>
                <w:highlight w:val="none"/>
              </w:rPr>
            </w:pPr>
          </w:p>
        </w:tc>
        <w:tc>
          <w:tcPr>
            <w:tcW w:w="6594" w:type="dxa"/>
            <w:noWrap w:val="0"/>
            <w:vAlign w:val="top"/>
          </w:tcPr>
          <w:p w14:paraId="39110E8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支持打印提醒，可设置未审核或审核未通过的病历无法进行打印，并给出相关提醒。</w:t>
            </w:r>
          </w:p>
        </w:tc>
      </w:tr>
      <w:tr w14:paraId="0C99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674D37BB">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32588BC2">
            <w:pPr>
              <w:spacing w:line="360" w:lineRule="auto"/>
              <w:jc w:val="center"/>
              <w:rPr>
                <w:rFonts w:hint="eastAsia" w:ascii="宋体" w:hAnsi="宋体" w:cs="宋体"/>
                <w:b/>
                <w:color w:val="auto"/>
                <w:szCs w:val="21"/>
                <w:highlight w:val="none"/>
              </w:rPr>
            </w:pPr>
          </w:p>
        </w:tc>
        <w:tc>
          <w:tcPr>
            <w:tcW w:w="6594" w:type="dxa"/>
            <w:noWrap w:val="0"/>
            <w:vAlign w:val="top"/>
          </w:tcPr>
          <w:p w14:paraId="5174CEB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支持病案打印状态接口，对已打印病案回传打印状态与第三方业务系统，用于辅助第三方系统召回修改病历内容时预警提示，减少因已打印病案与院内病案不一致引起的法律纠纷。</w:t>
            </w:r>
          </w:p>
        </w:tc>
      </w:tr>
      <w:tr w14:paraId="3E02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59A710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7E33BCE">
            <w:pPr>
              <w:spacing w:line="360" w:lineRule="auto"/>
              <w:jc w:val="center"/>
              <w:rPr>
                <w:rFonts w:hint="eastAsia" w:ascii="宋体" w:hAnsi="宋体" w:cs="宋体"/>
                <w:b/>
                <w:color w:val="auto"/>
                <w:szCs w:val="21"/>
                <w:highlight w:val="none"/>
              </w:rPr>
            </w:pPr>
          </w:p>
        </w:tc>
        <w:tc>
          <w:tcPr>
            <w:tcW w:w="6594" w:type="dxa"/>
            <w:noWrap w:val="0"/>
            <w:vAlign w:val="top"/>
          </w:tcPr>
          <w:p w14:paraId="24D4CA0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自动记录打印信息，并支持对打印信息进行统计的功能，如打印工作量、打印数量、打印金额。</w:t>
            </w:r>
          </w:p>
        </w:tc>
      </w:tr>
      <w:tr w14:paraId="7DA6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3B46779B">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204E92EF">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1.14病案导出</w:t>
            </w:r>
          </w:p>
        </w:tc>
        <w:tc>
          <w:tcPr>
            <w:tcW w:w="6594" w:type="dxa"/>
            <w:noWrap w:val="0"/>
            <w:vAlign w:val="top"/>
          </w:tcPr>
          <w:p w14:paraId="3E27DC8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支持病案导出功能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支持导出OFD格式及</w:t>
            </w:r>
            <w:r>
              <w:rPr>
                <w:rFonts w:hint="eastAsia" w:ascii="宋体" w:hAnsi="宋体" w:eastAsia="宋体" w:cs="宋体"/>
                <w:color w:val="auto"/>
                <w:szCs w:val="21"/>
                <w:highlight w:val="none"/>
                <w:lang w:eastAsia="zh-CN"/>
              </w:rPr>
              <w:t>PDF</w:t>
            </w:r>
            <w:r>
              <w:rPr>
                <w:rFonts w:hint="eastAsia" w:ascii="宋体" w:hAnsi="宋体" w:cs="宋体"/>
                <w:color w:val="auto"/>
                <w:szCs w:val="21"/>
                <w:highlight w:val="none"/>
                <w:lang w:eastAsia="zh-CN"/>
              </w:rPr>
              <w:t>格式文件。</w:t>
            </w:r>
          </w:p>
        </w:tc>
      </w:tr>
      <w:tr w14:paraId="0388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3498084A">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F9D72C0">
            <w:pPr>
              <w:spacing w:line="360" w:lineRule="auto"/>
              <w:jc w:val="center"/>
              <w:rPr>
                <w:rFonts w:hint="eastAsia" w:ascii="宋体" w:hAnsi="宋体" w:cs="宋体"/>
                <w:b/>
                <w:color w:val="auto"/>
                <w:szCs w:val="21"/>
                <w:highlight w:val="none"/>
              </w:rPr>
            </w:pPr>
          </w:p>
        </w:tc>
        <w:tc>
          <w:tcPr>
            <w:tcW w:w="6594" w:type="dxa"/>
            <w:noWrap w:val="0"/>
            <w:vAlign w:val="top"/>
          </w:tcPr>
          <w:p w14:paraId="7FF9F6B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支持病案检索功能，可通过病案号、住院号等条件查询需导出的病案。</w:t>
            </w:r>
          </w:p>
        </w:tc>
      </w:tr>
      <w:tr w14:paraId="6F62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FD56BC6">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AB50A85">
            <w:pPr>
              <w:spacing w:line="360" w:lineRule="auto"/>
              <w:jc w:val="center"/>
              <w:rPr>
                <w:rFonts w:hint="eastAsia" w:ascii="宋体" w:hAnsi="宋体" w:cs="宋体"/>
                <w:b/>
                <w:color w:val="auto"/>
                <w:szCs w:val="21"/>
                <w:highlight w:val="none"/>
              </w:rPr>
            </w:pPr>
          </w:p>
        </w:tc>
        <w:tc>
          <w:tcPr>
            <w:tcW w:w="6594" w:type="dxa"/>
            <w:noWrap w:val="0"/>
            <w:vAlign w:val="top"/>
          </w:tcPr>
          <w:p w14:paraId="655684A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支持导出套餐，可以预设导出套餐，并根据导出套餐选择病案分类进行导出。国家质控平台，“死亡与非医嘱”“异常费用病历”上传工作，满足其导出格式及病历排列顺序。</w:t>
            </w:r>
          </w:p>
        </w:tc>
      </w:tr>
      <w:tr w14:paraId="4C0A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5AF42E9">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33C546D">
            <w:pPr>
              <w:spacing w:line="360" w:lineRule="auto"/>
              <w:jc w:val="center"/>
              <w:rPr>
                <w:rFonts w:hint="eastAsia" w:ascii="宋体" w:hAnsi="宋体" w:cs="宋体"/>
                <w:b/>
                <w:color w:val="auto"/>
                <w:szCs w:val="21"/>
                <w:highlight w:val="none"/>
              </w:rPr>
            </w:pPr>
          </w:p>
        </w:tc>
        <w:tc>
          <w:tcPr>
            <w:tcW w:w="6594" w:type="dxa"/>
            <w:noWrap w:val="0"/>
            <w:vAlign w:val="top"/>
          </w:tcPr>
          <w:p w14:paraId="25840CE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支持批量导出功能。</w:t>
            </w:r>
          </w:p>
        </w:tc>
      </w:tr>
      <w:tr w14:paraId="4420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1D22248A">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1C88065">
            <w:pPr>
              <w:spacing w:line="360" w:lineRule="auto"/>
              <w:jc w:val="center"/>
              <w:rPr>
                <w:rFonts w:hint="eastAsia" w:ascii="宋体" w:hAnsi="宋体" w:cs="宋体"/>
                <w:b/>
                <w:color w:val="auto"/>
                <w:szCs w:val="21"/>
                <w:highlight w:val="none"/>
              </w:rPr>
            </w:pPr>
          </w:p>
        </w:tc>
        <w:tc>
          <w:tcPr>
            <w:tcW w:w="6594" w:type="dxa"/>
            <w:noWrap w:val="0"/>
            <w:vAlign w:val="top"/>
          </w:tcPr>
          <w:p w14:paraId="4275C25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支持单页导出功能。</w:t>
            </w:r>
          </w:p>
        </w:tc>
      </w:tr>
      <w:tr w14:paraId="28AB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1BB55800">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8E9ED91">
            <w:pPr>
              <w:spacing w:line="360" w:lineRule="auto"/>
              <w:jc w:val="center"/>
              <w:rPr>
                <w:rFonts w:hint="eastAsia" w:ascii="宋体" w:hAnsi="宋体" w:cs="宋体"/>
                <w:b/>
                <w:color w:val="auto"/>
                <w:szCs w:val="21"/>
                <w:highlight w:val="none"/>
              </w:rPr>
            </w:pPr>
          </w:p>
        </w:tc>
        <w:tc>
          <w:tcPr>
            <w:tcW w:w="6594" w:type="dxa"/>
            <w:noWrap w:val="0"/>
            <w:vAlign w:val="top"/>
          </w:tcPr>
          <w:p w14:paraId="59E7A73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支持根据病历分类添加目录，并支持快速跳转定位。</w:t>
            </w:r>
          </w:p>
        </w:tc>
      </w:tr>
      <w:tr w14:paraId="4E35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D769E60">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461448D">
            <w:pPr>
              <w:spacing w:line="360" w:lineRule="auto"/>
              <w:jc w:val="center"/>
              <w:rPr>
                <w:rFonts w:hint="eastAsia" w:ascii="宋体" w:hAnsi="宋体" w:cs="宋体"/>
                <w:b/>
                <w:color w:val="auto"/>
                <w:szCs w:val="21"/>
                <w:highlight w:val="none"/>
              </w:rPr>
            </w:pPr>
          </w:p>
        </w:tc>
        <w:tc>
          <w:tcPr>
            <w:tcW w:w="6594" w:type="dxa"/>
            <w:noWrap w:val="0"/>
            <w:vAlign w:val="top"/>
          </w:tcPr>
          <w:p w14:paraId="335C50B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支持导出信息记录功能，自动记录导出人员、时间、导出项目信息。</w:t>
            </w:r>
          </w:p>
        </w:tc>
      </w:tr>
      <w:tr w14:paraId="1A4A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EDF7C6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12ECAED">
            <w:pPr>
              <w:spacing w:line="360" w:lineRule="auto"/>
              <w:jc w:val="center"/>
              <w:rPr>
                <w:rFonts w:hint="eastAsia" w:ascii="宋体" w:hAnsi="宋体" w:cs="宋体"/>
                <w:b/>
                <w:color w:val="auto"/>
                <w:szCs w:val="21"/>
                <w:highlight w:val="none"/>
              </w:rPr>
            </w:pPr>
          </w:p>
        </w:tc>
        <w:tc>
          <w:tcPr>
            <w:tcW w:w="6594" w:type="dxa"/>
            <w:noWrap w:val="0"/>
            <w:vAlign w:val="top"/>
          </w:tcPr>
          <w:p w14:paraId="423C626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支持导出时添加数字水印，水印内容可自定义。</w:t>
            </w:r>
          </w:p>
        </w:tc>
      </w:tr>
      <w:tr w14:paraId="23D3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12A5E73">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338DA77">
            <w:pPr>
              <w:spacing w:line="360" w:lineRule="auto"/>
              <w:jc w:val="center"/>
              <w:rPr>
                <w:rFonts w:hint="eastAsia" w:ascii="宋体" w:hAnsi="宋体" w:cs="宋体"/>
                <w:b/>
                <w:color w:val="auto"/>
                <w:szCs w:val="21"/>
                <w:highlight w:val="none"/>
              </w:rPr>
            </w:pPr>
          </w:p>
        </w:tc>
        <w:tc>
          <w:tcPr>
            <w:tcW w:w="6594" w:type="dxa"/>
            <w:noWrap w:val="0"/>
            <w:vAlign w:val="top"/>
          </w:tcPr>
          <w:p w14:paraId="1A1E92E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支持导出时添加PDF签章功能。</w:t>
            </w:r>
          </w:p>
        </w:tc>
      </w:tr>
      <w:tr w14:paraId="411A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113F37E">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A93A4DD">
            <w:pPr>
              <w:spacing w:line="360" w:lineRule="auto"/>
              <w:jc w:val="center"/>
              <w:rPr>
                <w:rFonts w:hint="eastAsia" w:ascii="宋体" w:hAnsi="宋体" w:cs="宋体"/>
                <w:b/>
                <w:color w:val="auto"/>
                <w:szCs w:val="21"/>
                <w:highlight w:val="none"/>
              </w:rPr>
            </w:pPr>
          </w:p>
        </w:tc>
        <w:tc>
          <w:tcPr>
            <w:tcW w:w="6594" w:type="dxa"/>
            <w:noWrap w:val="0"/>
            <w:vAlign w:val="top"/>
          </w:tcPr>
          <w:p w14:paraId="7A831EC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支持后台导出功能，通过将任务发送到服务器，由服务器进行病案统合导出并打包，服务器完成后前台直接下载即可，无需占用客户机资源。</w:t>
            </w:r>
          </w:p>
        </w:tc>
      </w:tr>
      <w:tr w14:paraId="55C6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0" w:type="dxa"/>
            <w:vMerge w:val="continue"/>
            <w:shd w:val="clear" w:color="auto" w:fill="auto"/>
            <w:noWrap w:val="0"/>
            <w:vAlign w:val="center"/>
          </w:tcPr>
          <w:p w14:paraId="52981AF8">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1B39CEB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1.15病案脱敏</w:t>
            </w:r>
          </w:p>
        </w:tc>
        <w:tc>
          <w:tcPr>
            <w:tcW w:w="6594" w:type="dxa"/>
            <w:noWrap w:val="0"/>
            <w:vAlign w:val="top"/>
          </w:tcPr>
          <w:p w14:paraId="42C8324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支持导出单张脱敏文件的功能</w:t>
            </w:r>
          </w:p>
        </w:tc>
      </w:tr>
      <w:tr w14:paraId="34A6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686429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AB678B0">
            <w:pPr>
              <w:spacing w:line="360" w:lineRule="auto"/>
              <w:jc w:val="center"/>
              <w:rPr>
                <w:rFonts w:hint="eastAsia" w:ascii="宋体" w:hAnsi="宋体" w:cs="宋体"/>
                <w:b/>
                <w:color w:val="auto"/>
                <w:szCs w:val="21"/>
                <w:highlight w:val="none"/>
              </w:rPr>
            </w:pPr>
          </w:p>
        </w:tc>
        <w:tc>
          <w:tcPr>
            <w:tcW w:w="6594" w:type="dxa"/>
            <w:noWrap w:val="0"/>
            <w:vAlign w:val="top"/>
          </w:tcPr>
          <w:p w14:paraId="2740764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支持批量导出脱敏文件的功能，支持服务器后台处理</w:t>
            </w:r>
          </w:p>
        </w:tc>
      </w:tr>
      <w:tr w14:paraId="65F2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1BD6E54">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C1C221E">
            <w:pPr>
              <w:spacing w:line="360" w:lineRule="auto"/>
              <w:jc w:val="center"/>
              <w:rPr>
                <w:rFonts w:hint="eastAsia" w:ascii="宋体" w:hAnsi="宋体" w:cs="宋体"/>
                <w:b/>
                <w:color w:val="auto"/>
                <w:szCs w:val="21"/>
                <w:highlight w:val="none"/>
              </w:rPr>
            </w:pPr>
          </w:p>
        </w:tc>
        <w:tc>
          <w:tcPr>
            <w:tcW w:w="6594" w:type="dxa"/>
            <w:noWrap w:val="0"/>
            <w:vAlign w:val="top"/>
          </w:tcPr>
          <w:p w14:paraId="5C50E36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支持对患者住院号、姓名、联系电话、家庭地址脱敏，可自定义脱敏模板使用场景。上传电子病历或提供电子病历等时，可自动消除患者隐私信息。</w:t>
            </w:r>
          </w:p>
        </w:tc>
      </w:tr>
      <w:tr w14:paraId="6826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99A2977">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2E14AA5">
            <w:pPr>
              <w:spacing w:line="360" w:lineRule="auto"/>
              <w:jc w:val="center"/>
              <w:rPr>
                <w:rFonts w:hint="eastAsia" w:ascii="宋体" w:hAnsi="宋体" w:cs="宋体"/>
                <w:b/>
                <w:color w:val="auto"/>
                <w:szCs w:val="21"/>
                <w:highlight w:val="none"/>
              </w:rPr>
            </w:pPr>
          </w:p>
        </w:tc>
        <w:tc>
          <w:tcPr>
            <w:tcW w:w="6594" w:type="dxa"/>
            <w:noWrap w:val="0"/>
            <w:vAlign w:val="top"/>
          </w:tcPr>
          <w:p w14:paraId="03618E2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支持对脱敏文件进行添加水印，水印支持自定义</w:t>
            </w:r>
          </w:p>
        </w:tc>
      </w:tr>
      <w:tr w14:paraId="3150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1005B79F">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2A807D3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1.16数字化加工</w:t>
            </w:r>
          </w:p>
        </w:tc>
        <w:tc>
          <w:tcPr>
            <w:tcW w:w="6594" w:type="dxa"/>
            <w:noWrap w:val="0"/>
            <w:vAlign w:val="top"/>
          </w:tcPr>
          <w:p w14:paraId="57F7063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针对未实现无纸化的病历支持数字化加工功能，通过高拍仪或高速扫描仪进行扫描，转换成PDF文件归档；支持采集报告和拍摄报告分类查询。</w:t>
            </w:r>
          </w:p>
        </w:tc>
      </w:tr>
      <w:tr w14:paraId="7D26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A4099B9">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F75D5AA">
            <w:pPr>
              <w:spacing w:line="360" w:lineRule="auto"/>
              <w:jc w:val="center"/>
              <w:rPr>
                <w:rFonts w:hint="eastAsia" w:ascii="宋体" w:hAnsi="宋体" w:cs="宋体"/>
                <w:b/>
                <w:color w:val="auto"/>
                <w:szCs w:val="21"/>
                <w:highlight w:val="none"/>
              </w:rPr>
            </w:pPr>
          </w:p>
        </w:tc>
        <w:tc>
          <w:tcPr>
            <w:tcW w:w="6594" w:type="dxa"/>
            <w:noWrap w:val="0"/>
            <w:vAlign w:val="top"/>
          </w:tcPr>
          <w:p w14:paraId="07230C5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支持未脱纸病案的交接功能，用于临床科室与病案室之间的纸质病案交接，便于未脱纸病案的签入签出管理。</w:t>
            </w:r>
          </w:p>
        </w:tc>
      </w:tr>
      <w:tr w14:paraId="6242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A6F3274">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3D72098">
            <w:pPr>
              <w:spacing w:line="360" w:lineRule="auto"/>
              <w:jc w:val="center"/>
              <w:rPr>
                <w:rFonts w:hint="eastAsia" w:ascii="宋体" w:hAnsi="宋体" w:cs="宋体"/>
                <w:b/>
                <w:color w:val="auto"/>
                <w:szCs w:val="21"/>
                <w:highlight w:val="none"/>
              </w:rPr>
            </w:pPr>
          </w:p>
        </w:tc>
        <w:tc>
          <w:tcPr>
            <w:tcW w:w="6594" w:type="dxa"/>
            <w:noWrap w:val="0"/>
            <w:vAlign w:val="top"/>
          </w:tcPr>
          <w:p w14:paraId="224A90A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支持病案信息录入功能，如存在无电子数据的病历，可以进行手动录入，并对病历进行拍摄。</w:t>
            </w:r>
          </w:p>
        </w:tc>
      </w:tr>
      <w:tr w14:paraId="6B1F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61D77C2">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6C8194F">
            <w:pPr>
              <w:spacing w:line="360" w:lineRule="auto"/>
              <w:jc w:val="center"/>
              <w:rPr>
                <w:rFonts w:hint="eastAsia" w:ascii="宋体" w:hAnsi="宋体" w:cs="宋体"/>
                <w:b/>
                <w:color w:val="auto"/>
                <w:szCs w:val="21"/>
                <w:highlight w:val="none"/>
              </w:rPr>
            </w:pPr>
          </w:p>
        </w:tc>
        <w:tc>
          <w:tcPr>
            <w:tcW w:w="6594" w:type="dxa"/>
            <w:noWrap w:val="0"/>
            <w:vAlign w:val="top"/>
          </w:tcPr>
          <w:p w14:paraId="2D78A7B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支持病案数据整合功能，已翻拍病案可与现有无纸化归档病案进行数据整合，数据来源系统会单独备注。</w:t>
            </w:r>
          </w:p>
        </w:tc>
      </w:tr>
      <w:tr w14:paraId="4C47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DA8E530">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8F95C13">
            <w:pPr>
              <w:spacing w:line="360" w:lineRule="auto"/>
              <w:jc w:val="center"/>
              <w:rPr>
                <w:rFonts w:hint="eastAsia" w:ascii="宋体" w:hAnsi="宋体" w:cs="宋体"/>
                <w:b/>
                <w:color w:val="auto"/>
                <w:szCs w:val="21"/>
                <w:highlight w:val="none"/>
              </w:rPr>
            </w:pPr>
          </w:p>
        </w:tc>
        <w:tc>
          <w:tcPr>
            <w:tcW w:w="6594" w:type="dxa"/>
            <w:noWrap w:val="0"/>
            <w:vAlign w:val="top"/>
          </w:tcPr>
          <w:p w14:paraId="1D47F64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支持对病案图片删除、补拍功能，并支持在拍摄过程中或拍摄完成后对病案图片进行单张或者批量重新分类。</w:t>
            </w:r>
          </w:p>
        </w:tc>
      </w:tr>
      <w:tr w14:paraId="5A57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00" w:type="dxa"/>
            <w:vMerge w:val="continue"/>
            <w:noWrap w:val="0"/>
            <w:vAlign w:val="center"/>
          </w:tcPr>
          <w:p w14:paraId="4F82FF7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33C2E644">
            <w:pPr>
              <w:spacing w:line="360" w:lineRule="auto"/>
              <w:jc w:val="center"/>
              <w:rPr>
                <w:rFonts w:hint="eastAsia" w:ascii="宋体" w:hAnsi="宋体" w:cs="宋体"/>
                <w:b/>
                <w:color w:val="auto"/>
                <w:szCs w:val="21"/>
                <w:highlight w:val="none"/>
              </w:rPr>
            </w:pPr>
          </w:p>
        </w:tc>
        <w:tc>
          <w:tcPr>
            <w:tcW w:w="6594" w:type="dxa"/>
            <w:noWrap w:val="0"/>
            <w:vAlign w:val="top"/>
          </w:tcPr>
          <w:p w14:paraId="042B852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支持对扫描或翻拍文件进行分类，支持全键盘操作，支持拍摄时直接病案装箱。</w:t>
            </w:r>
          </w:p>
        </w:tc>
      </w:tr>
      <w:tr w14:paraId="74CD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C674239">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7D1CAF1">
            <w:pPr>
              <w:spacing w:line="360" w:lineRule="auto"/>
              <w:jc w:val="center"/>
              <w:rPr>
                <w:rFonts w:hint="eastAsia" w:ascii="宋体" w:hAnsi="宋体" w:cs="宋体"/>
                <w:b/>
                <w:color w:val="auto"/>
                <w:szCs w:val="21"/>
                <w:highlight w:val="none"/>
              </w:rPr>
            </w:pPr>
          </w:p>
        </w:tc>
        <w:tc>
          <w:tcPr>
            <w:tcW w:w="6594" w:type="dxa"/>
            <w:noWrap w:val="0"/>
            <w:vAlign w:val="top"/>
          </w:tcPr>
          <w:p w14:paraId="3A9C0A9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高速扫描仪支持双面扫描，支持自动跳过空白页功能。</w:t>
            </w:r>
          </w:p>
        </w:tc>
      </w:tr>
      <w:tr w14:paraId="7219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166519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B80FC62">
            <w:pPr>
              <w:spacing w:line="360" w:lineRule="auto"/>
              <w:jc w:val="center"/>
              <w:rPr>
                <w:rFonts w:hint="eastAsia" w:ascii="宋体" w:hAnsi="宋体" w:cs="宋体"/>
                <w:b/>
                <w:color w:val="auto"/>
                <w:szCs w:val="21"/>
                <w:highlight w:val="none"/>
              </w:rPr>
            </w:pPr>
          </w:p>
        </w:tc>
        <w:tc>
          <w:tcPr>
            <w:tcW w:w="6594" w:type="dxa"/>
            <w:noWrap w:val="0"/>
            <w:vAlign w:val="top"/>
          </w:tcPr>
          <w:p w14:paraId="546E797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支持导入功能，可将PDF文件直接导入到相关病案中并进行分类。</w:t>
            </w:r>
          </w:p>
        </w:tc>
      </w:tr>
      <w:tr w14:paraId="1B42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162EADC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FD3AE1C">
            <w:pPr>
              <w:spacing w:line="360" w:lineRule="auto"/>
              <w:jc w:val="center"/>
              <w:rPr>
                <w:rFonts w:hint="eastAsia" w:ascii="宋体" w:hAnsi="宋体" w:cs="宋体"/>
                <w:b/>
                <w:color w:val="auto"/>
                <w:szCs w:val="21"/>
                <w:highlight w:val="none"/>
              </w:rPr>
            </w:pPr>
          </w:p>
        </w:tc>
        <w:tc>
          <w:tcPr>
            <w:tcW w:w="6594" w:type="dxa"/>
            <w:noWrap w:val="0"/>
            <w:vAlign w:val="top"/>
          </w:tcPr>
          <w:p w14:paraId="4A75ABD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系统支持数字化加工统计功能，可对翻拍人员工作量等信息进行统计，形成统计报表。</w:t>
            </w:r>
          </w:p>
        </w:tc>
      </w:tr>
      <w:tr w14:paraId="089D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7360D31B">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1ABF42A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1.17仓储管理</w:t>
            </w:r>
          </w:p>
        </w:tc>
        <w:tc>
          <w:tcPr>
            <w:tcW w:w="6594" w:type="dxa"/>
            <w:noWrap w:val="0"/>
            <w:vAlign w:val="top"/>
          </w:tcPr>
          <w:p w14:paraId="47D2864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支持多仓库管理，病案箱上架、入库功能；可定位病案存储所在库架箱。</w:t>
            </w:r>
          </w:p>
        </w:tc>
      </w:tr>
      <w:tr w14:paraId="5A9C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3D68320B">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351FF3D">
            <w:pPr>
              <w:spacing w:line="360" w:lineRule="auto"/>
              <w:jc w:val="center"/>
              <w:rPr>
                <w:rFonts w:hint="eastAsia" w:ascii="宋体" w:hAnsi="宋体" w:cs="宋体"/>
                <w:b/>
                <w:color w:val="auto"/>
                <w:szCs w:val="21"/>
                <w:highlight w:val="none"/>
              </w:rPr>
            </w:pPr>
          </w:p>
        </w:tc>
        <w:tc>
          <w:tcPr>
            <w:tcW w:w="6594" w:type="dxa"/>
            <w:noWrap w:val="0"/>
            <w:vAlign w:val="top"/>
          </w:tcPr>
          <w:p w14:paraId="57E8FD5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支持病案封箱功能，对已封箱病历不可从箱内删除、修改等操作。</w:t>
            </w:r>
          </w:p>
        </w:tc>
      </w:tr>
      <w:tr w14:paraId="3D02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B19F7A6">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0B3318B">
            <w:pPr>
              <w:spacing w:line="360" w:lineRule="auto"/>
              <w:jc w:val="center"/>
              <w:rPr>
                <w:rFonts w:hint="eastAsia" w:ascii="宋体" w:hAnsi="宋体" w:cs="宋体"/>
                <w:b/>
                <w:color w:val="auto"/>
                <w:szCs w:val="21"/>
                <w:highlight w:val="none"/>
              </w:rPr>
            </w:pPr>
          </w:p>
        </w:tc>
        <w:tc>
          <w:tcPr>
            <w:tcW w:w="6594" w:type="dxa"/>
            <w:noWrap w:val="0"/>
            <w:vAlign w:val="top"/>
          </w:tcPr>
          <w:p w14:paraId="7072B85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支持未装箱病案查询，避免病案漏装。</w:t>
            </w:r>
          </w:p>
        </w:tc>
      </w:tr>
      <w:tr w14:paraId="0A55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566EA12A">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62692F7">
            <w:pPr>
              <w:spacing w:line="360" w:lineRule="auto"/>
              <w:jc w:val="center"/>
              <w:rPr>
                <w:rFonts w:hint="eastAsia" w:ascii="宋体" w:hAnsi="宋体" w:cs="宋体"/>
                <w:b/>
                <w:color w:val="auto"/>
                <w:szCs w:val="21"/>
                <w:highlight w:val="none"/>
              </w:rPr>
            </w:pPr>
          </w:p>
        </w:tc>
        <w:tc>
          <w:tcPr>
            <w:tcW w:w="6594" w:type="dxa"/>
            <w:noWrap w:val="0"/>
            <w:vAlign w:val="top"/>
          </w:tcPr>
          <w:p w14:paraId="1B4576C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支持扫描枪扫描病案条码，快速装箱。</w:t>
            </w:r>
          </w:p>
        </w:tc>
      </w:tr>
      <w:tr w14:paraId="6DF6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E65FF1B">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852AFFF">
            <w:pPr>
              <w:spacing w:line="360" w:lineRule="auto"/>
              <w:jc w:val="center"/>
              <w:rPr>
                <w:rFonts w:hint="eastAsia" w:ascii="宋体" w:hAnsi="宋体" w:cs="宋体"/>
                <w:b/>
                <w:color w:val="auto"/>
                <w:szCs w:val="21"/>
                <w:highlight w:val="none"/>
              </w:rPr>
            </w:pPr>
          </w:p>
        </w:tc>
        <w:tc>
          <w:tcPr>
            <w:tcW w:w="6594" w:type="dxa"/>
            <w:noWrap w:val="0"/>
            <w:vAlign w:val="top"/>
          </w:tcPr>
          <w:p w14:paraId="6B5820E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支持支持病案箱内病案序号标记，通过病案号、患者姓名、患者ID等快速检索病案存放位置。</w:t>
            </w:r>
          </w:p>
        </w:tc>
      </w:tr>
      <w:tr w14:paraId="01FC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shd w:val="clear" w:color="auto" w:fill="auto"/>
            <w:noWrap w:val="0"/>
            <w:vAlign w:val="center"/>
          </w:tcPr>
          <w:p w14:paraId="4E2B64A4">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0F427C0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1.18示踪管理</w:t>
            </w:r>
          </w:p>
        </w:tc>
        <w:tc>
          <w:tcPr>
            <w:tcW w:w="6594" w:type="dxa"/>
            <w:noWrap w:val="0"/>
            <w:vAlign w:val="top"/>
          </w:tcPr>
          <w:p w14:paraId="0A4D9CC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病案全流程中操作的日志存储，针对病案采集、病案质控、终末质控、病案浏览、病案召回、病案打印、病案借阅等全部病案相关操作进行记录，相关记录可以追溯到详细的操作人、操作时间、操作机器等信息，并生成系统日志。</w:t>
            </w:r>
          </w:p>
        </w:tc>
      </w:tr>
      <w:tr w14:paraId="46F4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0E50E1E">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EEB04A1">
            <w:pPr>
              <w:spacing w:line="360" w:lineRule="auto"/>
              <w:jc w:val="center"/>
              <w:rPr>
                <w:rFonts w:hint="eastAsia" w:ascii="宋体" w:hAnsi="宋体" w:cs="宋体"/>
                <w:b/>
                <w:color w:val="auto"/>
                <w:szCs w:val="21"/>
                <w:highlight w:val="none"/>
              </w:rPr>
            </w:pPr>
          </w:p>
        </w:tc>
        <w:tc>
          <w:tcPr>
            <w:tcW w:w="6594" w:type="dxa"/>
            <w:noWrap w:val="0"/>
            <w:vAlign w:val="top"/>
          </w:tcPr>
          <w:p w14:paraId="5E74EB8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支持仓库存储功能，支持对仓库、仓位、箱号进行设置，支持对仓库信息进行增删改查。</w:t>
            </w:r>
          </w:p>
        </w:tc>
      </w:tr>
      <w:tr w14:paraId="5AF7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1239E680">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B04DF1E">
            <w:pPr>
              <w:spacing w:line="360" w:lineRule="auto"/>
              <w:jc w:val="center"/>
              <w:rPr>
                <w:rFonts w:hint="eastAsia" w:ascii="宋体" w:hAnsi="宋体" w:cs="宋体"/>
                <w:b/>
                <w:color w:val="auto"/>
                <w:szCs w:val="21"/>
                <w:highlight w:val="none"/>
              </w:rPr>
            </w:pPr>
          </w:p>
        </w:tc>
        <w:tc>
          <w:tcPr>
            <w:tcW w:w="6594" w:type="dxa"/>
            <w:noWrap w:val="0"/>
            <w:vAlign w:val="top"/>
          </w:tcPr>
          <w:p w14:paraId="01DE6A8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支持数字化示踪功能，可对当前数字化翻拍病案的翻拍信息、装箱号、上架号进行记录查询。</w:t>
            </w:r>
          </w:p>
        </w:tc>
      </w:tr>
      <w:tr w14:paraId="34E7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00" w:type="dxa"/>
            <w:vMerge w:val="continue"/>
            <w:noWrap w:val="0"/>
            <w:vAlign w:val="center"/>
          </w:tcPr>
          <w:p w14:paraId="3422FF0B">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77AE4FB">
            <w:pPr>
              <w:spacing w:line="360" w:lineRule="auto"/>
              <w:jc w:val="center"/>
              <w:rPr>
                <w:rFonts w:hint="eastAsia" w:ascii="宋体" w:hAnsi="宋体" w:cs="宋体"/>
                <w:b/>
                <w:color w:val="auto"/>
                <w:szCs w:val="21"/>
                <w:highlight w:val="none"/>
              </w:rPr>
            </w:pPr>
          </w:p>
        </w:tc>
        <w:tc>
          <w:tcPr>
            <w:tcW w:w="6594" w:type="dxa"/>
            <w:noWrap w:val="0"/>
            <w:vAlign w:val="top"/>
          </w:tcPr>
          <w:p w14:paraId="4C6CE6C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支持无纸化病案时间轴，可对病案的全生命周期信息进行时间轴形式的显示。</w:t>
            </w:r>
          </w:p>
        </w:tc>
      </w:tr>
      <w:tr w14:paraId="5F91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shd w:val="clear" w:color="auto" w:fill="auto"/>
            <w:noWrap w:val="0"/>
            <w:vAlign w:val="center"/>
          </w:tcPr>
          <w:p w14:paraId="239A62FF">
            <w:pPr>
              <w:spacing w:line="360" w:lineRule="auto"/>
              <w:jc w:val="center"/>
              <w:rPr>
                <w:rFonts w:hint="eastAsia" w:ascii="宋体" w:hAnsi="宋体" w:cs="宋体"/>
                <w:b/>
                <w:color w:val="auto"/>
                <w:szCs w:val="21"/>
                <w:highlight w:val="none"/>
              </w:rPr>
            </w:pPr>
          </w:p>
        </w:tc>
        <w:tc>
          <w:tcPr>
            <w:tcW w:w="1476" w:type="dxa"/>
            <w:shd w:val="clear" w:color="auto" w:fill="auto"/>
            <w:noWrap w:val="0"/>
            <w:vAlign w:val="center"/>
          </w:tcPr>
          <w:p w14:paraId="0A1A7D7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1.19数据中台</w:t>
            </w:r>
          </w:p>
        </w:tc>
        <w:tc>
          <w:tcPr>
            <w:tcW w:w="6594" w:type="dxa"/>
            <w:noWrap w:val="0"/>
            <w:vAlign w:val="top"/>
          </w:tcPr>
          <w:p w14:paraId="22436BE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支持数据中台功能，可通过电视或显示器进行病案数据整体趋势、质控率、采集情况、脱纸率</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三日归档</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五日归档</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七日归档统计</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以及采集失败</w:t>
            </w:r>
            <w:r>
              <w:rPr>
                <w:rFonts w:hint="eastAsia" w:ascii="宋体" w:hAnsi="宋体" w:eastAsia="宋体" w:cs="宋体"/>
                <w:color w:val="auto"/>
                <w:szCs w:val="21"/>
                <w:highlight w:val="none"/>
                <w:lang w:eastAsia="zh-CN"/>
              </w:rPr>
              <w:t>等数据进</w:t>
            </w:r>
            <w:r>
              <w:rPr>
                <w:rFonts w:hint="eastAsia" w:ascii="宋体" w:hAnsi="宋体" w:cs="宋体"/>
                <w:color w:val="auto"/>
                <w:szCs w:val="21"/>
                <w:highlight w:val="none"/>
                <w:lang w:eastAsia="zh-CN"/>
              </w:rPr>
              <w:t>行统合显示，</w:t>
            </w:r>
            <w:r>
              <w:rPr>
                <w:rFonts w:hint="default" w:ascii="宋体" w:hAnsi="宋体" w:eastAsia="宋体" w:cs="宋体"/>
                <w:color w:val="auto"/>
                <w:szCs w:val="21"/>
                <w:highlight w:val="none"/>
                <w:lang w:val="en-US" w:eastAsia="zh-CN"/>
              </w:rPr>
              <w:t>预警情况提示</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以便管理人员对病案整体情况进行把控。</w:t>
            </w:r>
          </w:p>
        </w:tc>
      </w:tr>
      <w:tr w14:paraId="717F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25DA7E67">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0040C57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1.20权限管理</w:t>
            </w:r>
          </w:p>
        </w:tc>
        <w:tc>
          <w:tcPr>
            <w:tcW w:w="6594" w:type="dxa"/>
            <w:noWrap w:val="0"/>
            <w:vAlign w:val="top"/>
          </w:tcPr>
          <w:p w14:paraId="2A7AEE2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支持根据医院现有人员信息，职位信息对权限进行自动导入，并根据医院人员信息字典的调整而自动调整。</w:t>
            </w:r>
          </w:p>
        </w:tc>
      </w:tr>
      <w:tr w14:paraId="5AA9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3A8B37D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0500D48">
            <w:pPr>
              <w:spacing w:line="360" w:lineRule="auto"/>
              <w:jc w:val="center"/>
              <w:rPr>
                <w:rFonts w:hint="eastAsia" w:ascii="宋体" w:hAnsi="宋体" w:cs="宋体"/>
                <w:b/>
                <w:color w:val="auto"/>
                <w:szCs w:val="21"/>
                <w:highlight w:val="none"/>
              </w:rPr>
            </w:pPr>
          </w:p>
        </w:tc>
        <w:tc>
          <w:tcPr>
            <w:tcW w:w="6594" w:type="dxa"/>
            <w:noWrap w:val="0"/>
            <w:vAlign w:val="top"/>
          </w:tcPr>
          <w:p w14:paraId="3FD30D9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支持用户管理模块，可对用户进行添加、删除、密码设置、信息备注、权限组、账户冻结等管理操作。</w:t>
            </w:r>
          </w:p>
        </w:tc>
      </w:tr>
      <w:tr w14:paraId="49C7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AA687D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D3FB090">
            <w:pPr>
              <w:spacing w:line="360" w:lineRule="auto"/>
              <w:jc w:val="center"/>
              <w:rPr>
                <w:rFonts w:hint="eastAsia" w:ascii="宋体" w:hAnsi="宋体" w:cs="宋体"/>
                <w:b/>
                <w:color w:val="auto"/>
                <w:szCs w:val="21"/>
                <w:highlight w:val="none"/>
              </w:rPr>
            </w:pPr>
          </w:p>
        </w:tc>
        <w:tc>
          <w:tcPr>
            <w:tcW w:w="6594" w:type="dxa"/>
            <w:noWrap w:val="0"/>
            <w:vAlign w:val="top"/>
          </w:tcPr>
          <w:p w14:paraId="05E89C0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支持组别管理模块，可设置当前组别，根据组别不同设置相关的权限、包括浏览权限、审核权限、管理权限等，权限不同，软件支持的产品功能也会不同。</w:t>
            </w:r>
          </w:p>
        </w:tc>
      </w:tr>
      <w:tr w14:paraId="75EB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9B479C6">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5459F4A">
            <w:pPr>
              <w:spacing w:line="360" w:lineRule="auto"/>
              <w:jc w:val="center"/>
              <w:rPr>
                <w:rFonts w:hint="eastAsia" w:ascii="宋体" w:hAnsi="宋体" w:cs="宋体"/>
                <w:b/>
                <w:color w:val="auto"/>
                <w:szCs w:val="21"/>
                <w:highlight w:val="none"/>
              </w:rPr>
            </w:pPr>
          </w:p>
        </w:tc>
        <w:tc>
          <w:tcPr>
            <w:tcW w:w="6594" w:type="dxa"/>
            <w:noWrap w:val="0"/>
            <w:vAlign w:val="top"/>
          </w:tcPr>
          <w:p w14:paraId="6F1431D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支持科室管理模块，可设置相关科室信息，并设置相关科室的权限，科室权限不同，软件支持的产品功能也会不同。</w:t>
            </w:r>
          </w:p>
        </w:tc>
      </w:tr>
      <w:tr w14:paraId="1AAE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6B8EFB1">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05D9839">
            <w:pPr>
              <w:spacing w:line="360" w:lineRule="auto"/>
              <w:jc w:val="center"/>
              <w:rPr>
                <w:rFonts w:hint="eastAsia" w:ascii="宋体" w:hAnsi="宋体" w:cs="宋体"/>
                <w:b/>
                <w:color w:val="auto"/>
                <w:szCs w:val="21"/>
                <w:highlight w:val="none"/>
              </w:rPr>
            </w:pPr>
          </w:p>
        </w:tc>
        <w:tc>
          <w:tcPr>
            <w:tcW w:w="6594" w:type="dxa"/>
            <w:noWrap w:val="0"/>
            <w:vAlign w:val="top"/>
          </w:tcPr>
          <w:p w14:paraId="499E62D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支持页面权限管理模块，可以设置精确到各个页面各个功能的权限管理，可实现每个用户、用户组或角色的权限详细设置。</w:t>
            </w:r>
          </w:p>
        </w:tc>
      </w:tr>
      <w:tr w14:paraId="69F6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shd w:val="clear" w:color="auto" w:fill="auto"/>
            <w:noWrap w:val="0"/>
            <w:vAlign w:val="center"/>
          </w:tcPr>
          <w:p w14:paraId="79C77F0A">
            <w:pPr>
              <w:pStyle w:val="90"/>
              <w:spacing w:line="360" w:lineRule="auto"/>
              <w:ind w:left="0" w:leftChars="0" w:firstLine="0" w:firstLineChars="0"/>
              <w:jc w:val="both"/>
              <w:rPr>
                <w:rFonts w:hint="eastAsia" w:ascii="宋体" w:hAnsi="宋体" w:cs="宋体"/>
                <w:b/>
                <w:color w:val="auto"/>
                <w:szCs w:val="21"/>
                <w:highlight w:val="none"/>
                <w:lang w:eastAsia="zh-CN"/>
              </w:rPr>
            </w:pPr>
          </w:p>
        </w:tc>
        <w:tc>
          <w:tcPr>
            <w:tcW w:w="1476" w:type="dxa"/>
            <w:vMerge w:val="restart"/>
            <w:shd w:val="clear" w:color="auto" w:fill="auto"/>
            <w:noWrap w:val="0"/>
            <w:vAlign w:val="center"/>
          </w:tcPr>
          <w:p w14:paraId="67419FBB">
            <w:pPr>
              <w:pStyle w:val="90"/>
              <w:spacing w:line="360" w:lineRule="auto"/>
              <w:ind w:left="0" w:leftChars="0" w:firstLine="0" w:firstLineChars="0"/>
              <w:jc w:val="both"/>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1.21</w:t>
            </w:r>
            <w:r>
              <w:rPr>
                <w:rFonts w:hint="eastAsia" w:ascii="宋体" w:hAnsi="宋体" w:cs="宋体"/>
                <w:b/>
                <w:color w:val="auto"/>
                <w:kern w:val="2"/>
                <w:szCs w:val="21"/>
                <w:highlight w:val="none"/>
                <w:lang w:eastAsia="zh-CN"/>
              </w:rPr>
              <w:t>打印窗口管理</w:t>
            </w:r>
          </w:p>
        </w:tc>
        <w:tc>
          <w:tcPr>
            <w:tcW w:w="6594" w:type="dxa"/>
            <w:noWrap w:val="0"/>
            <w:vAlign w:val="top"/>
          </w:tcPr>
          <w:p w14:paraId="26C7B03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系统采用本地化部署方式，包括微信端和管理端两个子模块</w:t>
            </w:r>
          </w:p>
        </w:tc>
      </w:tr>
      <w:tr w14:paraId="0E0D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2118FEA9">
            <w:pPr>
              <w:pStyle w:val="90"/>
              <w:spacing w:line="360" w:lineRule="auto"/>
              <w:ind w:firstLine="0"/>
              <w:jc w:val="center"/>
              <w:rPr>
                <w:rFonts w:hint="eastAsia" w:ascii="宋体" w:hAnsi="宋体" w:cs="宋体"/>
                <w:b/>
                <w:color w:val="auto"/>
                <w:szCs w:val="21"/>
                <w:highlight w:val="none"/>
                <w:lang w:eastAsia="zh-CN"/>
              </w:rPr>
            </w:pPr>
          </w:p>
        </w:tc>
        <w:tc>
          <w:tcPr>
            <w:tcW w:w="1476" w:type="dxa"/>
            <w:vMerge w:val="continue"/>
            <w:noWrap w:val="0"/>
            <w:vAlign w:val="center"/>
          </w:tcPr>
          <w:p w14:paraId="53FF9B9B">
            <w:pPr>
              <w:pStyle w:val="90"/>
              <w:spacing w:line="360" w:lineRule="auto"/>
              <w:ind w:firstLine="0"/>
              <w:jc w:val="center"/>
              <w:rPr>
                <w:rFonts w:hint="eastAsia" w:ascii="宋体" w:hAnsi="宋体" w:cs="宋体"/>
                <w:b/>
                <w:color w:val="auto"/>
                <w:szCs w:val="21"/>
                <w:highlight w:val="none"/>
                <w:lang w:eastAsia="zh-CN"/>
              </w:rPr>
            </w:pPr>
          </w:p>
        </w:tc>
        <w:tc>
          <w:tcPr>
            <w:tcW w:w="6594" w:type="dxa"/>
            <w:noWrap w:val="0"/>
            <w:vAlign w:val="top"/>
          </w:tcPr>
          <w:p w14:paraId="18523F1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微信端主要包括“关注公众号”、“填写预约信息”、“通过公众号或者小程序在线提交复印申请及申请人证件信息（无需现场排队）“、“上传证件信息”、“选择邮寄或窗口/自助机打印”，“在线支付”、“我的申请”、“确认签收”及“消息推送”等功能</w:t>
            </w:r>
          </w:p>
        </w:tc>
      </w:tr>
      <w:tr w14:paraId="4DE3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0" w:type="dxa"/>
            <w:vMerge w:val="continue"/>
            <w:noWrap w:val="0"/>
            <w:vAlign w:val="center"/>
          </w:tcPr>
          <w:p w14:paraId="460F9DBB">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E90A4BE">
            <w:pPr>
              <w:spacing w:line="360" w:lineRule="auto"/>
              <w:jc w:val="center"/>
              <w:rPr>
                <w:rFonts w:hint="eastAsia" w:ascii="宋体" w:hAnsi="宋体" w:cs="宋体"/>
                <w:b/>
                <w:color w:val="auto"/>
                <w:szCs w:val="21"/>
                <w:highlight w:val="none"/>
              </w:rPr>
            </w:pPr>
          </w:p>
        </w:tc>
        <w:tc>
          <w:tcPr>
            <w:tcW w:w="6594" w:type="dxa"/>
            <w:noWrap w:val="0"/>
            <w:vAlign w:val="top"/>
          </w:tcPr>
          <w:p w14:paraId="4DE967F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管理端主要包括“管理员登录”、“首页驾驶舱”、“预约用户”、“预约申请”，“申请审核”、“邮寄管理”、“业务统计”、“工作统计”、“对账”、“用户管理”、“组织管理”、“角色管理”、“资源管理”、“字典管理”等功能。</w:t>
            </w:r>
            <w:r>
              <w:rPr>
                <w:rFonts w:hint="eastAsia" w:ascii="宋体" w:hAnsi="宋体" w:eastAsia="宋体" w:cs="宋体"/>
                <w:color w:val="auto"/>
                <w:szCs w:val="21"/>
                <w:highlight w:val="none"/>
                <w:lang w:eastAsia="zh-CN"/>
              </w:rPr>
              <w:t>保留</w:t>
            </w:r>
            <w:r>
              <w:rPr>
                <w:rFonts w:hint="eastAsia" w:ascii="宋体" w:hAnsi="宋体" w:eastAsia="宋体" w:cs="宋体"/>
                <w:color w:val="auto"/>
                <w:szCs w:val="21"/>
                <w:highlight w:val="none"/>
                <w:lang w:val="en-US" w:eastAsia="zh-CN"/>
              </w:rPr>
              <w:t>病历复印人证件相关信息，</w:t>
            </w:r>
            <w:r>
              <w:rPr>
                <w:rFonts w:hint="eastAsia" w:ascii="宋体" w:hAnsi="宋体" w:eastAsia="宋体" w:cs="宋体"/>
                <w:color w:val="auto"/>
                <w:szCs w:val="21"/>
                <w:highlight w:val="none"/>
                <w:lang w:eastAsia="zh-CN"/>
              </w:rPr>
              <w:t>可查询患者复印次数。</w:t>
            </w:r>
          </w:p>
        </w:tc>
      </w:tr>
      <w:tr w14:paraId="2D0C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1C1947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C087FF8">
            <w:pPr>
              <w:spacing w:line="360" w:lineRule="auto"/>
              <w:jc w:val="center"/>
              <w:rPr>
                <w:rFonts w:hint="eastAsia" w:ascii="宋体" w:hAnsi="宋体" w:cs="宋体"/>
                <w:b/>
                <w:color w:val="auto"/>
                <w:szCs w:val="21"/>
                <w:highlight w:val="none"/>
              </w:rPr>
            </w:pPr>
          </w:p>
        </w:tc>
        <w:tc>
          <w:tcPr>
            <w:tcW w:w="6594" w:type="dxa"/>
            <w:noWrap w:val="0"/>
            <w:vAlign w:val="top"/>
          </w:tcPr>
          <w:p w14:paraId="4C16E5C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支持通过大屏展示病案复印申请人的排号无须排队，并通过微信消息推送复印进度和在线缴费</w:t>
            </w:r>
          </w:p>
        </w:tc>
      </w:tr>
      <w:tr w14:paraId="1302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E0F4F40">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F3243AA">
            <w:pPr>
              <w:spacing w:line="360" w:lineRule="auto"/>
              <w:jc w:val="center"/>
              <w:rPr>
                <w:rFonts w:hint="eastAsia" w:ascii="宋体" w:hAnsi="宋体" w:cs="宋体"/>
                <w:b/>
                <w:color w:val="auto"/>
                <w:szCs w:val="21"/>
                <w:highlight w:val="none"/>
              </w:rPr>
            </w:pPr>
          </w:p>
        </w:tc>
        <w:tc>
          <w:tcPr>
            <w:tcW w:w="6594" w:type="dxa"/>
            <w:noWrap w:val="0"/>
            <w:vAlign w:val="top"/>
          </w:tcPr>
          <w:p w14:paraId="5834EE9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提供费用在线支付功能，患者支付费用不经过第三方支持平台，直接进入医院微信、支付宝、银行账户</w:t>
            </w:r>
          </w:p>
        </w:tc>
      </w:tr>
      <w:tr w14:paraId="4E9A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5937331B">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B0E2D97">
            <w:pPr>
              <w:spacing w:line="360" w:lineRule="auto"/>
              <w:jc w:val="center"/>
              <w:rPr>
                <w:rFonts w:hint="eastAsia" w:ascii="宋体" w:hAnsi="宋体" w:cs="宋体"/>
                <w:b/>
                <w:color w:val="auto"/>
                <w:szCs w:val="21"/>
                <w:highlight w:val="none"/>
              </w:rPr>
            </w:pPr>
          </w:p>
        </w:tc>
        <w:tc>
          <w:tcPr>
            <w:tcW w:w="6594" w:type="dxa"/>
            <w:noWrap w:val="0"/>
            <w:vAlign w:val="top"/>
          </w:tcPr>
          <w:p w14:paraId="0840A66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支持多家快递公司，包括：京东、顺丰、邮政等</w:t>
            </w:r>
          </w:p>
        </w:tc>
      </w:tr>
      <w:tr w14:paraId="07A7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2F703E38">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1501445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1.22系统配置</w:t>
            </w:r>
          </w:p>
        </w:tc>
        <w:tc>
          <w:tcPr>
            <w:tcW w:w="6594" w:type="dxa"/>
            <w:noWrap w:val="0"/>
            <w:vAlign w:val="top"/>
          </w:tcPr>
          <w:p w14:paraId="2B0CCBE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支持参数配置功能，可对连接设备、水印内容、存储路径、打印费用、打印套餐、导出套餐等内容进行配置修改。</w:t>
            </w:r>
          </w:p>
        </w:tc>
      </w:tr>
      <w:tr w14:paraId="0ADC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00" w:type="dxa"/>
            <w:vMerge w:val="continue"/>
            <w:noWrap w:val="0"/>
            <w:vAlign w:val="center"/>
          </w:tcPr>
          <w:p w14:paraId="6CACDEC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6723439">
            <w:pPr>
              <w:spacing w:line="360" w:lineRule="auto"/>
              <w:jc w:val="center"/>
              <w:rPr>
                <w:rFonts w:hint="eastAsia" w:ascii="宋体" w:hAnsi="宋体" w:cs="宋体"/>
                <w:b/>
                <w:color w:val="auto"/>
                <w:szCs w:val="21"/>
                <w:highlight w:val="none"/>
              </w:rPr>
            </w:pPr>
          </w:p>
        </w:tc>
        <w:tc>
          <w:tcPr>
            <w:tcW w:w="6594" w:type="dxa"/>
            <w:noWrap w:val="0"/>
            <w:vAlign w:val="top"/>
          </w:tcPr>
          <w:p w14:paraId="112EB4F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支持用户上传属于医院的LOGO，展示在系统顶部。</w:t>
            </w:r>
          </w:p>
        </w:tc>
      </w:tr>
      <w:tr w14:paraId="043B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00" w:type="dxa"/>
            <w:vMerge w:val="continue"/>
            <w:noWrap w:val="0"/>
            <w:vAlign w:val="center"/>
          </w:tcPr>
          <w:p w14:paraId="00EC640B">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3A93BA1">
            <w:pPr>
              <w:spacing w:line="360" w:lineRule="auto"/>
              <w:jc w:val="center"/>
              <w:rPr>
                <w:rFonts w:hint="eastAsia" w:ascii="宋体" w:hAnsi="宋体" w:cs="宋体"/>
                <w:b/>
                <w:color w:val="auto"/>
                <w:szCs w:val="21"/>
                <w:highlight w:val="none"/>
              </w:rPr>
            </w:pPr>
          </w:p>
        </w:tc>
        <w:tc>
          <w:tcPr>
            <w:tcW w:w="6594" w:type="dxa"/>
            <w:noWrap w:val="0"/>
            <w:vAlign w:val="top"/>
          </w:tcPr>
          <w:p w14:paraId="5E42229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支持数据字典维护功能，字典内容包括科室信息、人员信息、病案分类信息等。</w:t>
            </w:r>
          </w:p>
        </w:tc>
      </w:tr>
      <w:tr w14:paraId="5BDC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1590FA41">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23CE273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1.23日志管理</w:t>
            </w:r>
          </w:p>
        </w:tc>
        <w:tc>
          <w:tcPr>
            <w:tcW w:w="6594" w:type="dxa"/>
            <w:noWrap w:val="0"/>
            <w:vAlign w:val="top"/>
          </w:tcPr>
          <w:p w14:paraId="16F449D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支持用户操作日志模块，针对用户登录、操作内容、操作时间进行记录，并对用户所有的增删改查操作都进行记录。</w:t>
            </w:r>
          </w:p>
        </w:tc>
      </w:tr>
      <w:tr w14:paraId="64DE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25397BF">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3A57F6B1">
            <w:pPr>
              <w:spacing w:line="360" w:lineRule="auto"/>
              <w:jc w:val="center"/>
              <w:rPr>
                <w:rFonts w:hint="eastAsia" w:ascii="宋体" w:hAnsi="宋体" w:cs="宋体"/>
                <w:b/>
                <w:color w:val="auto"/>
                <w:szCs w:val="21"/>
                <w:highlight w:val="none"/>
              </w:rPr>
            </w:pPr>
          </w:p>
        </w:tc>
        <w:tc>
          <w:tcPr>
            <w:tcW w:w="6594" w:type="dxa"/>
            <w:noWrap w:val="0"/>
            <w:vAlign w:val="top"/>
          </w:tcPr>
          <w:p w14:paraId="605EFE3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支持系统运行情况日志模块，针对所有访问的请求情况进行记录，包括访问时间、响应时间、响应结果、用户IP等。</w:t>
            </w:r>
          </w:p>
        </w:tc>
      </w:tr>
      <w:tr w14:paraId="758A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1B96F753">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16794DA">
            <w:pPr>
              <w:spacing w:line="360" w:lineRule="auto"/>
              <w:jc w:val="center"/>
              <w:rPr>
                <w:rFonts w:hint="eastAsia" w:ascii="宋体" w:hAnsi="宋体" w:cs="宋体"/>
                <w:b/>
                <w:color w:val="auto"/>
                <w:szCs w:val="21"/>
                <w:highlight w:val="none"/>
              </w:rPr>
            </w:pPr>
          </w:p>
        </w:tc>
        <w:tc>
          <w:tcPr>
            <w:tcW w:w="6594" w:type="dxa"/>
            <w:noWrap w:val="0"/>
            <w:vAlign w:val="top"/>
          </w:tcPr>
          <w:p w14:paraId="13253C5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支持采集日志模块，针对接口采集情况进行记录，包括采集情况、采集数量、采集错误记录等。</w:t>
            </w:r>
          </w:p>
        </w:tc>
      </w:tr>
      <w:tr w14:paraId="4E4D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shd w:val="clear" w:color="auto" w:fill="auto"/>
            <w:noWrap w:val="0"/>
            <w:vAlign w:val="center"/>
          </w:tcPr>
          <w:p w14:paraId="42D19422">
            <w:pPr>
              <w:spacing w:line="360" w:lineRule="auto"/>
              <w:jc w:val="center"/>
              <w:rPr>
                <w:rFonts w:hint="eastAsia" w:ascii="宋体" w:hAnsi="宋体" w:cs="宋体"/>
                <w:b/>
                <w:color w:val="auto"/>
                <w:szCs w:val="21"/>
                <w:highlight w:val="none"/>
              </w:rPr>
            </w:pPr>
          </w:p>
        </w:tc>
        <w:tc>
          <w:tcPr>
            <w:tcW w:w="1476" w:type="dxa"/>
            <w:vMerge w:val="restart"/>
            <w:shd w:val="clear" w:color="auto" w:fill="auto"/>
            <w:noWrap w:val="0"/>
            <w:vAlign w:val="center"/>
          </w:tcPr>
          <w:p w14:paraId="5573193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1.24</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PDF签章</w:t>
            </w:r>
          </w:p>
        </w:tc>
        <w:tc>
          <w:tcPr>
            <w:tcW w:w="6594" w:type="dxa"/>
            <w:noWrap w:val="0"/>
            <w:vAlign w:val="top"/>
          </w:tcPr>
          <w:p w14:paraId="0271375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支持归档病案的电子证书、签名、签章与时间戳信息整合功能，并支持病案二次电子签名、签章、时间戳应用功能。</w:t>
            </w:r>
          </w:p>
        </w:tc>
      </w:tr>
      <w:tr w14:paraId="7D7A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689CD63">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52C11EE9">
            <w:pPr>
              <w:spacing w:line="360" w:lineRule="auto"/>
              <w:jc w:val="center"/>
              <w:rPr>
                <w:rFonts w:hint="eastAsia" w:ascii="宋体" w:hAnsi="宋体" w:cs="宋体"/>
                <w:b/>
                <w:color w:val="auto"/>
                <w:szCs w:val="21"/>
                <w:highlight w:val="none"/>
              </w:rPr>
            </w:pPr>
          </w:p>
        </w:tc>
        <w:tc>
          <w:tcPr>
            <w:tcW w:w="6594" w:type="dxa"/>
            <w:noWrap w:val="0"/>
            <w:vAlign w:val="top"/>
          </w:tcPr>
          <w:p w14:paraId="79F97329">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对PDF格式的文档进行电子签章，并且在电子文档上显示签章图片</w:t>
            </w:r>
          </w:p>
        </w:tc>
      </w:tr>
      <w:tr w14:paraId="7E33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0E45DE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BDFA13F">
            <w:pPr>
              <w:spacing w:line="360" w:lineRule="auto"/>
              <w:jc w:val="center"/>
              <w:rPr>
                <w:rFonts w:hint="eastAsia" w:ascii="宋体" w:hAnsi="宋体" w:cs="宋体"/>
                <w:b/>
                <w:color w:val="auto"/>
                <w:szCs w:val="21"/>
                <w:highlight w:val="none"/>
              </w:rPr>
            </w:pPr>
          </w:p>
        </w:tc>
        <w:tc>
          <w:tcPr>
            <w:tcW w:w="6594" w:type="dxa"/>
            <w:noWrap w:val="0"/>
            <w:vAlign w:val="top"/>
          </w:tcPr>
          <w:p w14:paraId="2A2FFF4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管理签章应用的服务器证书、签章图片、签章展现属性、签章定位、透明度等</w:t>
            </w:r>
          </w:p>
        </w:tc>
      </w:tr>
      <w:tr w14:paraId="5DB2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789DF7D">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B2BB521">
            <w:pPr>
              <w:spacing w:line="360" w:lineRule="auto"/>
              <w:jc w:val="center"/>
              <w:rPr>
                <w:rFonts w:hint="eastAsia" w:ascii="宋体" w:hAnsi="宋体" w:cs="宋体"/>
                <w:b/>
                <w:color w:val="auto"/>
                <w:szCs w:val="21"/>
                <w:highlight w:val="none"/>
              </w:rPr>
            </w:pPr>
          </w:p>
        </w:tc>
        <w:tc>
          <w:tcPr>
            <w:tcW w:w="6594" w:type="dxa"/>
            <w:noWrap w:val="0"/>
            <w:vAlign w:val="top"/>
          </w:tcPr>
          <w:p w14:paraId="766B8E6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对签章业务进行统计与分析，并对系统管理和维护进行日志记录和审计</w:t>
            </w:r>
          </w:p>
        </w:tc>
      </w:tr>
      <w:tr w14:paraId="4115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7AE59EA">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40774B2D">
            <w:pPr>
              <w:spacing w:line="360" w:lineRule="auto"/>
              <w:jc w:val="center"/>
              <w:rPr>
                <w:rFonts w:hint="eastAsia" w:ascii="宋体" w:hAnsi="宋体" w:cs="宋体"/>
                <w:b/>
                <w:color w:val="auto"/>
                <w:szCs w:val="21"/>
                <w:highlight w:val="none"/>
              </w:rPr>
            </w:pPr>
          </w:p>
        </w:tc>
        <w:tc>
          <w:tcPr>
            <w:tcW w:w="6594" w:type="dxa"/>
            <w:noWrap w:val="0"/>
            <w:vAlign w:val="top"/>
          </w:tcPr>
          <w:p w14:paraId="55871B5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打开签章后的PDF文档时，自动对文档签章进行验证</w:t>
            </w:r>
          </w:p>
        </w:tc>
      </w:tr>
      <w:tr w14:paraId="7BF9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0E99798E">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683A2279">
            <w:pPr>
              <w:spacing w:line="360" w:lineRule="auto"/>
              <w:jc w:val="center"/>
              <w:rPr>
                <w:rFonts w:hint="eastAsia" w:ascii="宋体" w:hAnsi="宋体" w:cs="宋体"/>
                <w:b/>
                <w:color w:val="auto"/>
                <w:szCs w:val="21"/>
                <w:highlight w:val="none"/>
              </w:rPr>
            </w:pPr>
          </w:p>
        </w:tc>
        <w:tc>
          <w:tcPr>
            <w:tcW w:w="6594" w:type="dxa"/>
            <w:noWrap w:val="0"/>
            <w:vAlign w:val="top"/>
          </w:tcPr>
          <w:p w14:paraId="66937B95">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对签章后的PDF文档中的指定签章进行验证</w:t>
            </w:r>
          </w:p>
        </w:tc>
      </w:tr>
      <w:tr w14:paraId="178B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63D4C967">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7FDDD5AA">
            <w:pPr>
              <w:spacing w:line="360" w:lineRule="auto"/>
              <w:jc w:val="center"/>
              <w:rPr>
                <w:rFonts w:hint="eastAsia" w:ascii="宋体" w:hAnsi="宋体" w:cs="宋体"/>
                <w:b/>
                <w:color w:val="auto"/>
                <w:szCs w:val="21"/>
                <w:highlight w:val="none"/>
              </w:rPr>
            </w:pPr>
          </w:p>
        </w:tc>
        <w:tc>
          <w:tcPr>
            <w:tcW w:w="6594" w:type="dxa"/>
            <w:noWrap w:val="0"/>
            <w:vAlign w:val="top"/>
          </w:tcPr>
          <w:p w14:paraId="2DC12D3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2U机架服务器</w:t>
            </w:r>
          </w:p>
        </w:tc>
      </w:tr>
      <w:tr w14:paraId="15E7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F05CCE9">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91B110A">
            <w:pPr>
              <w:spacing w:line="360" w:lineRule="auto"/>
              <w:jc w:val="center"/>
              <w:rPr>
                <w:rFonts w:hint="eastAsia" w:ascii="宋体" w:hAnsi="宋体" w:cs="宋体"/>
                <w:b/>
                <w:color w:val="auto"/>
                <w:szCs w:val="21"/>
                <w:highlight w:val="none"/>
              </w:rPr>
            </w:pPr>
          </w:p>
        </w:tc>
        <w:tc>
          <w:tcPr>
            <w:tcW w:w="6594" w:type="dxa"/>
            <w:noWrap w:val="0"/>
            <w:vAlign w:val="top"/>
          </w:tcPr>
          <w:p w14:paraId="2C4EE73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支持的应用环境Windows同；Linux；AIX；Solaris；Unix</w:t>
            </w:r>
          </w:p>
        </w:tc>
      </w:tr>
      <w:tr w14:paraId="1C43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2E5F25E5">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46CAC41">
            <w:pPr>
              <w:spacing w:line="360" w:lineRule="auto"/>
              <w:jc w:val="center"/>
              <w:rPr>
                <w:rFonts w:hint="eastAsia" w:ascii="宋体" w:hAnsi="宋体" w:cs="宋体"/>
                <w:b/>
                <w:color w:val="auto"/>
                <w:szCs w:val="21"/>
                <w:highlight w:val="none"/>
              </w:rPr>
            </w:pPr>
          </w:p>
        </w:tc>
        <w:tc>
          <w:tcPr>
            <w:tcW w:w="6594" w:type="dxa"/>
            <w:noWrap w:val="0"/>
            <w:vAlign w:val="top"/>
          </w:tcPr>
          <w:p w14:paraId="5EA9757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提供C、Java 等主流开发API</w:t>
            </w:r>
          </w:p>
        </w:tc>
      </w:tr>
      <w:tr w14:paraId="30D1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26CF3AA">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29B10F9D">
            <w:pPr>
              <w:spacing w:line="360" w:lineRule="auto"/>
              <w:jc w:val="center"/>
              <w:rPr>
                <w:rFonts w:hint="eastAsia" w:ascii="宋体" w:hAnsi="宋体" w:cs="宋体"/>
                <w:b/>
                <w:color w:val="auto"/>
                <w:szCs w:val="21"/>
                <w:highlight w:val="none"/>
              </w:rPr>
            </w:pPr>
          </w:p>
        </w:tc>
        <w:tc>
          <w:tcPr>
            <w:tcW w:w="6594" w:type="dxa"/>
            <w:noWrap w:val="0"/>
            <w:vAlign w:val="top"/>
          </w:tcPr>
          <w:p w14:paraId="73529C8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业务处理能力不小于100个/秒</w:t>
            </w:r>
          </w:p>
        </w:tc>
      </w:tr>
      <w:tr w14:paraId="3B6E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408110D1">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1FDFC0A4">
            <w:pPr>
              <w:spacing w:line="360" w:lineRule="auto"/>
              <w:jc w:val="center"/>
              <w:rPr>
                <w:rFonts w:hint="eastAsia" w:ascii="宋体" w:hAnsi="宋体" w:cs="宋体"/>
                <w:b/>
                <w:color w:val="auto"/>
                <w:szCs w:val="21"/>
                <w:highlight w:val="none"/>
              </w:rPr>
            </w:pPr>
          </w:p>
        </w:tc>
        <w:tc>
          <w:tcPr>
            <w:tcW w:w="6594" w:type="dxa"/>
            <w:noWrap w:val="0"/>
            <w:vAlign w:val="top"/>
          </w:tcPr>
          <w:p w14:paraId="489140C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适用环境：千兆环境，并发用户多</w:t>
            </w:r>
          </w:p>
        </w:tc>
      </w:tr>
      <w:tr w14:paraId="0110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7A40D3D7">
            <w:pPr>
              <w:spacing w:line="360" w:lineRule="auto"/>
              <w:jc w:val="center"/>
              <w:rPr>
                <w:rFonts w:hint="eastAsia" w:ascii="宋体" w:hAnsi="宋体" w:cs="宋体"/>
                <w:b/>
                <w:color w:val="auto"/>
                <w:szCs w:val="21"/>
                <w:highlight w:val="none"/>
              </w:rPr>
            </w:pPr>
          </w:p>
        </w:tc>
        <w:tc>
          <w:tcPr>
            <w:tcW w:w="1476" w:type="dxa"/>
            <w:vMerge w:val="continue"/>
            <w:noWrap w:val="0"/>
            <w:vAlign w:val="center"/>
          </w:tcPr>
          <w:p w14:paraId="01886F13">
            <w:pPr>
              <w:spacing w:line="360" w:lineRule="auto"/>
              <w:jc w:val="center"/>
              <w:rPr>
                <w:rFonts w:hint="eastAsia" w:ascii="宋体" w:hAnsi="宋体" w:cs="宋体"/>
                <w:b/>
                <w:color w:val="auto"/>
                <w:szCs w:val="21"/>
                <w:highlight w:val="none"/>
              </w:rPr>
            </w:pPr>
          </w:p>
        </w:tc>
        <w:tc>
          <w:tcPr>
            <w:tcW w:w="6594" w:type="dxa"/>
            <w:noWrap w:val="0"/>
            <w:vAlign w:val="top"/>
          </w:tcPr>
          <w:p w14:paraId="3CD4650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应已完成与国产操作系统、国产化数据库的适配，能够提供适配证明</w:t>
            </w:r>
          </w:p>
        </w:tc>
      </w:tr>
      <w:tr w14:paraId="54F1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100" w:type="dxa"/>
            <w:vMerge w:val="restart"/>
            <w:noWrap w:val="0"/>
            <w:vAlign w:val="center"/>
          </w:tcPr>
          <w:p w14:paraId="01886A0D">
            <w:pPr>
              <w:widowControl/>
              <w:spacing w:line="360" w:lineRule="auto"/>
              <w:jc w:val="center"/>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2、硬件设备</w:t>
            </w:r>
          </w:p>
        </w:tc>
        <w:tc>
          <w:tcPr>
            <w:tcW w:w="1476" w:type="dxa"/>
            <w:vMerge w:val="restart"/>
            <w:noWrap w:val="0"/>
            <w:vAlign w:val="center"/>
          </w:tcPr>
          <w:p w14:paraId="4D69BB08">
            <w:pPr>
              <w:widowControl/>
              <w:spacing w:line="360" w:lineRule="auto"/>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lang w:val="en-US" w:eastAsia="zh-CN"/>
              </w:rPr>
              <w:t>2.1</w:t>
            </w:r>
            <w:r>
              <w:rPr>
                <w:rFonts w:hint="eastAsia" w:ascii="宋体" w:hAnsi="宋体" w:cs="宋体"/>
                <w:b/>
                <w:bCs/>
                <w:color w:val="auto"/>
                <w:kern w:val="0"/>
                <w:szCs w:val="21"/>
                <w:highlight w:val="none"/>
              </w:rPr>
              <w:t>分布式存储</w:t>
            </w:r>
          </w:p>
        </w:tc>
        <w:tc>
          <w:tcPr>
            <w:tcW w:w="6594" w:type="dxa"/>
            <w:noWrap w:val="0"/>
            <w:vAlign w:val="center"/>
          </w:tcPr>
          <w:p w14:paraId="293877A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保障医院无纸化办公等多类型医疗数据存储需求，配置3台硬件分布式存储服务器，提供240T分布式存储授权；支持块、文件、对象多种存储服务，可灵活适配电子病历、检验报告、医学影像、归档数据等不同类型医疗数据的存储需求；存储资源统一管理、按需灵活分配，提升全院存储资源利用率；同时存储策略支持副本模式与纠删码模式，兼顾数据安全与存储成本控制，契合医院多场景数据存储诉求。</w:t>
            </w:r>
          </w:p>
        </w:tc>
      </w:tr>
      <w:tr w14:paraId="1F71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00" w:type="dxa"/>
            <w:vMerge w:val="continue"/>
            <w:noWrap w:val="0"/>
            <w:vAlign w:val="center"/>
          </w:tcPr>
          <w:p w14:paraId="4F9EC5D2">
            <w:pPr>
              <w:spacing w:line="360" w:lineRule="auto"/>
              <w:jc w:val="center"/>
              <w:rPr>
                <w:rFonts w:hint="eastAsia" w:ascii="宋体" w:hAnsi="宋体" w:cs="宋体"/>
                <w:color w:val="auto"/>
                <w:kern w:val="0"/>
                <w:szCs w:val="21"/>
                <w:highlight w:val="none"/>
              </w:rPr>
            </w:pPr>
          </w:p>
        </w:tc>
        <w:tc>
          <w:tcPr>
            <w:tcW w:w="1476" w:type="dxa"/>
            <w:vMerge w:val="continue"/>
            <w:noWrap w:val="0"/>
            <w:vAlign w:val="center"/>
          </w:tcPr>
          <w:p w14:paraId="45CD6EF6">
            <w:pPr>
              <w:spacing w:line="360" w:lineRule="auto"/>
              <w:jc w:val="center"/>
              <w:rPr>
                <w:rFonts w:hint="eastAsia" w:ascii="宋体" w:hAnsi="宋体" w:cs="宋体"/>
                <w:color w:val="auto"/>
                <w:kern w:val="0"/>
                <w:szCs w:val="21"/>
                <w:highlight w:val="none"/>
              </w:rPr>
            </w:pPr>
          </w:p>
        </w:tc>
        <w:tc>
          <w:tcPr>
            <w:tcW w:w="6594" w:type="dxa"/>
            <w:noWrap w:val="0"/>
            <w:vAlign w:val="center"/>
          </w:tcPr>
          <w:p w14:paraId="3A188E1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单台硬件分布式服务器配置：采用通用X86架构存储服务器，内存≥2*32G，系统盘≥1*240GBSSD，缓存盘≥2*960GSSD，机械硬盘≥6*16THDD，白金冗余电源，接口≥2个千兆电口、2个万兆光口；提供三年软硬件产品质保及一年标准运维服务（包含且不限于在线升级定期更新、NBD快速维保、7*24H风险在线监控、小程序告警等）。</w:t>
            </w:r>
          </w:p>
        </w:tc>
      </w:tr>
      <w:tr w14:paraId="4197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8112E60">
            <w:pPr>
              <w:spacing w:line="360" w:lineRule="auto"/>
              <w:jc w:val="center"/>
              <w:rPr>
                <w:rFonts w:hint="eastAsia" w:ascii="宋体" w:hAnsi="宋体" w:cs="宋体"/>
                <w:color w:val="auto"/>
                <w:kern w:val="0"/>
                <w:szCs w:val="21"/>
                <w:highlight w:val="none"/>
              </w:rPr>
            </w:pPr>
          </w:p>
        </w:tc>
        <w:tc>
          <w:tcPr>
            <w:tcW w:w="1476" w:type="dxa"/>
            <w:vMerge w:val="continue"/>
            <w:noWrap w:val="0"/>
            <w:vAlign w:val="center"/>
          </w:tcPr>
          <w:p w14:paraId="6561687A">
            <w:pPr>
              <w:spacing w:line="360" w:lineRule="auto"/>
              <w:jc w:val="center"/>
              <w:rPr>
                <w:rFonts w:hint="eastAsia" w:ascii="宋体" w:hAnsi="宋体" w:cs="宋体"/>
                <w:color w:val="auto"/>
                <w:kern w:val="0"/>
                <w:szCs w:val="21"/>
                <w:highlight w:val="none"/>
              </w:rPr>
            </w:pPr>
          </w:p>
        </w:tc>
        <w:tc>
          <w:tcPr>
            <w:tcW w:w="6594" w:type="dxa"/>
            <w:noWrap w:val="0"/>
            <w:vAlign w:val="center"/>
          </w:tcPr>
          <w:p w14:paraId="55B79D7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★配置≥500个终端数量的勒索病毒防护模块，实现勒索病毒防护、自动快照、文件恢复等功能。提供功能相关证明截图。</w:t>
            </w:r>
          </w:p>
        </w:tc>
      </w:tr>
      <w:tr w14:paraId="5A41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center"/>
          </w:tcPr>
          <w:p w14:paraId="3227EBCE">
            <w:pPr>
              <w:spacing w:line="360" w:lineRule="auto"/>
              <w:jc w:val="center"/>
              <w:rPr>
                <w:rFonts w:hint="eastAsia" w:ascii="宋体" w:hAnsi="宋体" w:cs="宋体"/>
                <w:color w:val="auto"/>
                <w:kern w:val="0"/>
                <w:szCs w:val="21"/>
                <w:highlight w:val="none"/>
              </w:rPr>
            </w:pPr>
          </w:p>
        </w:tc>
        <w:tc>
          <w:tcPr>
            <w:tcW w:w="1476" w:type="dxa"/>
            <w:vMerge w:val="continue"/>
            <w:noWrap w:val="0"/>
            <w:vAlign w:val="center"/>
          </w:tcPr>
          <w:p w14:paraId="4BFED58F">
            <w:pPr>
              <w:spacing w:line="360" w:lineRule="auto"/>
              <w:jc w:val="center"/>
              <w:rPr>
                <w:rFonts w:hint="eastAsia" w:ascii="宋体" w:hAnsi="宋体" w:cs="宋体"/>
                <w:color w:val="auto"/>
                <w:kern w:val="0"/>
                <w:szCs w:val="21"/>
                <w:highlight w:val="none"/>
              </w:rPr>
            </w:pPr>
          </w:p>
        </w:tc>
        <w:tc>
          <w:tcPr>
            <w:tcW w:w="6594" w:type="dxa"/>
            <w:noWrap w:val="0"/>
            <w:vAlign w:val="center"/>
          </w:tcPr>
          <w:p w14:paraId="768B9F9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为保障核心医疗业务高稳定性需求，所投厂家产品必须为存储一体机产品</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从架构层面规避兼容性故障、故障定位低效、多厂商推诿等风险，保障核心系统7×24小时稳定运行，同时简化医院IT运维管理，提升故障响应与问题解决效率。</w:t>
            </w:r>
          </w:p>
        </w:tc>
      </w:tr>
      <w:tr w14:paraId="3426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100" w:type="dxa"/>
            <w:vMerge w:val="continue"/>
            <w:noWrap w:val="0"/>
            <w:vAlign w:val="top"/>
          </w:tcPr>
          <w:p w14:paraId="222E546F">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55E45130">
            <w:pPr>
              <w:spacing w:line="360" w:lineRule="auto"/>
              <w:jc w:val="center"/>
              <w:rPr>
                <w:rFonts w:hint="eastAsia" w:ascii="宋体" w:hAnsi="宋体" w:cs="宋体"/>
                <w:color w:val="auto"/>
                <w:kern w:val="0"/>
                <w:szCs w:val="21"/>
                <w:highlight w:val="none"/>
              </w:rPr>
            </w:pPr>
          </w:p>
        </w:tc>
        <w:tc>
          <w:tcPr>
            <w:tcW w:w="6594" w:type="dxa"/>
            <w:noWrap w:val="0"/>
            <w:vAlign w:val="center"/>
          </w:tcPr>
          <w:p w14:paraId="142EDE1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支持针对医院内部本地用户/用户组、域环境用户/用户组灵活配置默认存储配额，可精准限制单个用户/业务部门的存储容量占用或文件数量上限，有效避免个别科室、用户过度占用存储资源，确保电子病历、医嘱管理、检验检查报告、行政办公等核心业务系统及全院用户的存储资源按需分配、互不挤占，保障无纸化办公全流程数据存储的稳定性与高效性，同时降低存储资源浪费风险。提供功能相关证明截图。</w:t>
            </w:r>
          </w:p>
        </w:tc>
      </w:tr>
      <w:tr w14:paraId="26AA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0" w:type="dxa"/>
            <w:vMerge w:val="continue"/>
            <w:noWrap w:val="0"/>
            <w:vAlign w:val="top"/>
          </w:tcPr>
          <w:p w14:paraId="4B989C93">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3FC82456">
            <w:pPr>
              <w:spacing w:line="360" w:lineRule="auto"/>
              <w:jc w:val="center"/>
              <w:rPr>
                <w:rFonts w:hint="eastAsia" w:ascii="宋体" w:hAnsi="宋体" w:cs="宋体"/>
                <w:color w:val="auto"/>
                <w:kern w:val="0"/>
                <w:szCs w:val="21"/>
                <w:highlight w:val="none"/>
              </w:rPr>
            </w:pPr>
          </w:p>
        </w:tc>
        <w:tc>
          <w:tcPr>
            <w:tcW w:w="6594" w:type="dxa"/>
            <w:noWrap w:val="0"/>
            <w:vAlign w:val="center"/>
          </w:tcPr>
          <w:p w14:paraId="1486856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了适配医院无纸化办公场景下医疗数据长期存储的成本管控需求，文件存储具备高效数据缩减能力，支持按医院业务场景划分的文件目录灵活配置数据压缩策略，提供节省容量优先和性能优先两种可选模式，同时支持可视化查看压缩数据量、存储节省比例等核心指标，便于医院进行存储成本核算与资源优化。提供功能相关证明截图。</w:t>
            </w:r>
          </w:p>
        </w:tc>
      </w:tr>
      <w:tr w14:paraId="414B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0" w:type="dxa"/>
            <w:vMerge w:val="continue"/>
            <w:noWrap w:val="0"/>
            <w:vAlign w:val="top"/>
          </w:tcPr>
          <w:p w14:paraId="7BC53305">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075BDAFC">
            <w:pPr>
              <w:spacing w:line="360" w:lineRule="auto"/>
              <w:jc w:val="center"/>
              <w:rPr>
                <w:rFonts w:hint="eastAsia" w:ascii="宋体" w:hAnsi="宋体" w:cs="宋体"/>
                <w:color w:val="auto"/>
                <w:kern w:val="0"/>
                <w:szCs w:val="21"/>
                <w:highlight w:val="none"/>
              </w:rPr>
            </w:pPr>
          </w:p>
        </w:tc>
        <w:tc>
          <w:tcPr>
            <w:tcW w:w="6594" w:type="dxa"/>
            <w:noWrap w:val="0"/>
            <w:vAlign w:val="center"/>
          </w:tcPr>
          <w:p w14:paraId="4BE3F55F">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保障办公高并发场景使用体验，支持将指定目录下的元数据访问请求，通过智能均衡算法打散至集群内多个节点的多个元数据服务（MDS）中，实现多节点多MDS并行处理，避免单点负载瓶颈，保障高并发场景下医疗数据检索、文件打开、目录遍历等操作低延迟响应，确保核心诊疗业务与无纸化办公全流程高效稳定运转。</w:t>
            </w:r>
          </w:p>
        </w:tc>
      </w:tr>
      <w:tr w14:paraId="49B4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top"/>
          </w:tcPr>
          <w:p w14:paraId="0870DD43">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46ED1C3D">
            <w:pPr>
              <w:spacing w:line="360" w:lineRule="auto"/>
              <w:jc w:val="center"/>
              <w:rPr>
                <w:rFonts w:hint="eastAsia" w:ascii="宋体" w:hAnsi="宋体" w:cs="宋体"/>
                <w:color w:val="auto"/>
                <w:kern w:val="0"/>
                <w:szCs w:val="21"/>
                <w:highlight w:val="none"/>
              </w:rPr>
            </w:pPr>
          </w:p>
        </w:tc>
        <w:tc>
          <w:tcPr>
            <w:tcW w:w="6594" w:type="dxa"/>
            <w:noWrap w:val="0"/>
            <w:vAlign w:val="center"/>
          </w:tcPr>
          <w:p w14:paraId="0F727F6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★为简化运维难度和提升存储服务连续性，要求设备具备硬盘检测和故障自动处理功能。提前预判硬盘故障风险，能够以百分比形式显示SSD磨损度/寿命，并在界面上做出提示。提供功能相关证明截图。</w:t>
            </w:r>
          </w:p>
        </w:tc>
      </w:tr>
      <w:tr w14:paraId="7134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0" w:type="dxa"/>
            <w:vMerge w:val="continue"/>
            <w:noWrap w:val="0"/>
            <w:vAlign w:val="top"/>
          </w:tcPr>
          <w:p w14:paraId="0DE38139">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0D4FCF15">
            <w:pPr>
              <w:spacing w:line="360" w:lineRule="auto"/>
              <w:jc w:val="center"/>
              <w:rPr>
                <w:rFonts w:hint="eastAsia" w:ascii="宋体" w:hAnsi="宋体" w:cs="宋体"/>
                <w:color w:val="auto"/>
                <w:kern w:val="0"/>
                <w:szCs w:val="21"/>
                <w:highlight w:val="none"/>
              </w:rPr>
            </w:pPr>
          </w:p>
        </w:tc>
        <w:tc>
          <w:tcPr>
            <w:tcW w:w="6594" w:type="dxa"/>
            <w:noWrap w:val="0"/>
            <w:vAlign w:val="center"/>
          </w:tcPr>
          <w:p w14:paraId="2F3AB4D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保障医疗数据存储安全需求，支持硬盘亚健康预测、故障自动处理功能：可定时扫描硬盘坏道、检测静默错误，提前预判硬盘故障风险，便于IT团队提前筹备硬件更换；故障发生时自动触发处理机制，同时在管理界面实时提示异常信息，降低因硬盘故障导致的业务风险，确保无纸化办公连续稳定。提供功能相关证明截图。</w:t>
            </w:r>
          </w:p>
        </w:tc>
      </w:tr>
      <w:tr w14:paraId="5485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100" w:type="dxa"/>
            <w:vMerge w:val="continue"/>
            <w:noWrap w:val="0"/>
            <w:vAlign w:val="top"/>
          </w:tcPr>
          <w:p w14:paraId="1F1BFA49">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57DBD379">
            <w:pPr>
              <w:spacing w:line="360" w:lineRule="auto"/>
              <w:jc w:val="center"/>
              <w:rPr>
                <w:rFonts w:hint="eastAsia" w:ascii="宋体" w:hAnsi="宋体" w:cs="宋体"/>
                <w:color w:val="auto"/>
                <w:kern w:val="0"/>
                <w:szCs w:val="21"/>
                <w:highlight w:val="none"/>
              </w:rPr>
            </w:pPr>
          </w:p>
        </w:tc>
        <w:tc>
          <w:tcPr>
            <w:tcW w:w="6594" w:type="dxa"/>
            <w:noWrap w:val="0"/>
            <w:vAlign w:val="center"/>
          </w:tcPr>
          <w:p w14:paraId="50EFF70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适配医院核心医疗数据备份与应急恢复需求，支持对任意目录层级打快照，可同步对目录及下属子目录执行快照操作；定时快照间隔可设置≥15分钟，支持快照数≥20000个，满足高频次、大容量医疗数据（电子病历、检验报告等）备份需求；支持快照重命名，便于医院按业务场景分类管理；支持从任意快照点快速恢复单个或多个文件数据，保障诊疗相关文件数据可追溯、可快速找回。提供功能相关证明截图。</w:t>
            </w:r>
          </w:p>
        </w:tc>
      </w:tr>
      <w:tr w14:paraId="46DE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1100" w:type="dxa"/>
            <w:vMerge w:val="continue"/>
            <w:noWrap w:val="0"/>
            <w:vAlign w:val="top"/>
          </w:tcPr>
          <w:p w14:paraId="010AD64E">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7DD074AC">
            <w:pPr>
              <w:spacing w:line="360" w:lineRule="auto"/>
              <w:jc w:val="center"/>
              <w:rPr>
                <w:rFonts w:hint="eastAsia" w:ascii="宋体" w:hAnsi="宋体" w:cs="宋体"/>
                <w:color w:val="auto"/>
                <w:kern w:val="0"/>
                <w:szCs w:val="21"/>
                <w:highlight w:val="none"/>
              </w:rPr>
            </w:pPr>
          </w:p>
        </w:tc>
        <w:tc>
          <w:tcPr>
            <w:tcW w:w="6594" w:type="dxa"/>
            <w:noWrap w:val="0"/>
            <w:vAlign w:val="center"/>
          </w:tcPr>
          <w:p w14:paraId="55F2EDC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保障医院核心医疗数据安全与业务风险管控需求，产品内置免费病毒防护引擎，具备全流程勒索病毒防护能力：中毒前可精准拦截勒索病毒入侵，守护电子病历、检验报告等医疗数据安全；检测到疑似勒索病毒或中毒时自动触发快照备份，留存安全数据版本；中毒后支持基于快照快速执行文件安全恢复，避免数据丢失或被篡改。有效抵御勒索病毒攻击，降低因数据安全事件导致的诊疗业务中断、经济损失等风险，保障医院无纸化办公安全稳定。提供功能相关证明截图并在中标后提供功能演示。</w:t>
            </w:r>
          </w:p>
        </w:tc>
      </w:tr>
      <w:tr w14:paraId="165C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top"/>
          </w:tcPr>
          <w:p w14:paraId="7F92D2AC">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0C9131BB">
            <w:pPr>
              <w:spacing w:line="360" w:lineRule="auto"/>
              <w:jc w:val="center"/>
              <w:rPr>
                <w:rFonts w:hint="eastAsia" w:ascii="宋体" w:hAnsi="宋体" w:cs="宋体"/>
                <w:color w:val="auto"/>
                <w:kern w:val="0"/>
                <w:szCs w:val="21"/>
                <w:highlight w:val="none"/>
              </w:rPr>
            </w:pPr>
          </w:p>
        </w:tc>
        <w:tc>
          <w:tcPr>
            <w:tcW w:w="6594" w:type="dxa"/>
            <w:noWrap w:val="0"/>
            <w:vAlign w:val="center"/>
          </w:tcPr>
          <w:p w14:paraId="0CEAD6CE">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为满足信息化管理规范与专属化操作需求，支持对存储系统管理界面进行个性化定制，可自主配置医院专属LOGO、背景图及平台简介等信息，提升界面辨识度与运维操作适配性。</w:t>
            </w:r>
          </w:p>
        </w:tc>
      </w:tr>
      <w:tr w14:paraId="4485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top"/>
          </w:tcPr>
          <w:p w14:paraId="4E425958">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7B3027A3">
            <w:pPr>
              <w:spacing w:line="360" w:lineRule="auto"/>
              <w:jc w:val="center"/>
              <w:rPr>
                <w:rFonts w:hint="eastAsia" w:ascii="宋体" w:hAnsi="宋体" w:cs="宋体"/>
                <w:color w:val="auto"/>
                <w:kern w:val="0"/>
                <w:szCs w:val="21"/>
                <w:highlight w:val="none"/>
              </w:rPr>
            </w:pPr>
          </w:p>
        </w:tc>
        <w:tc>
          <w:tcPr>
            <w:tcW w:w="6594" w:type="dxa"/>
            <w:noWrap w:val="0"/>
            <w:vAlign w:val="center"/>
          </w:tcPr>
          <w:p w14:paraId="75A1F23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★为满足频医疗数据访问场景使用需求，支持数据预读智能优化功能，可自动识别热点医疗数据并预读至缓存层，显著提升数据读取响应速度，保障核心诊疗业务高效运转。</w:t>
            </w:r>
          </w:p>
        </w:tc>
      </w:tr>
      <w:tr w14:paraId="5FD4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100" w:type="dxa"/>
            <w:vMerge w:val="continue"/>
            <w:noWrap w:val="0"/>
            <w:vAlign w:val="top"/>
          </w:tcPr>
          <w:p w14:paraId="2CFFBBF9">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10135C46">
            <w:pPr>
              <w:spacing w:line="360" w:lineRule="auto"/>
              <w:jc w:val="center"/>
              <w:rPr>
                <w:rFonts w:hint="eastAsia" w:ascii="宋体" w:hAnsi="宋体" w:cs="宋体"/>
                <w:color w:val="auto"/>
                <w:kern w:val="0"/>
                <w:szCs w:val="21"/>
                <w:highlight w:val="none"/>
              </w:rPr>
            </w:pPr>
          </w:p>
        </w:tc>
        <w:tc>
          <w:tcPr>
            <w:tcW w:w="6594" w:type="dxa"/>
            <w:noWrap w:val="0"/>
            <w:vAlign w:val="center"/>
          </w:tcPr>
          <w:p w14:paraId="7A7E7BD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满足运维精细化管理需求，支持以文件目录为单位开展存储性能监控，可对共享目录（如科室专属数据目录、核心业务系统目录）的带宽、时延、OPS、元数据OPS、元数据时延等关键指标进行可视化展示与趋势跟踪，助力IT团队快速定位性能瓶颈、溯源排查业务访问异常问题，保障医疗数据访问连续性与诊疗业务高效运转。</w:t>
            </w:r>
          </w:p>
        </w:tc>
      </w:tr>
      <w:tr w14:paraId="26A7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top"/>
          </w:tcPr>
          <w:p w14:paraId="3E7EC49F">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0A34AF65">
            <w:pPr>
              <w:spacing w:line="360" w:lineRule="auto"/>
              <w:jc w:val="center"/>
              <w:rPr>
                <w:rFonts w:hint="eastAsia" w:ascii="宋体" w:hAnsi="宋体" w:cs="宋体"/>
                <w:color w:val="auto"/>
                <w:kern w:val="0"/>
                <w:szCs w:val="21"/>
                <w:highlight w:val="none"/>
              </w:rPr>
            </w:pPr>
          </w:p>
        </w:tc>
        <w:tc>
          <w:tcPr>
            <w:tcW w:w="6594" w:type="dxa"/>
            <w:noWrap w:val="0"/>
            <w:vAlign w:val="center"/>
          </w:tcPr>
          <w:p w14:paraId="2EBAD316">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为满足核心医疗数据安全与平台合规性要求，确保存储平台软件开发流程合规、产品本身无安全漏洞，从源头规避因开发层面风险导致的医疗数据泄露、平台被攻击等问题，保障分布式存储系统安全稳定运行。</w:t>
            </w:r>
          </w:p>
        </w:tc>
      </w:tr>
      <w:tr w14:paraId="0E30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continue"/>
            <w:noWrap w:val="0"/>
            <w:vAlign w:val="top"/>
          </w:tcPr>
          <w:p w14:paraId="393BAAF5">
            <w:pPr>
              <w:spacing w:line="360" w:lineRule="auto"/>
              <w:jc w:val="center"/>
              <w:rPr>
                <w:rFonts w:hint="eastAsia" w:ascii="宋体" w:hAnsi="宋体" w:cs="宋体"/>
                <w:color w:val="auto"/>
                <w:kern w:val="0"/>
                <w:szCs w:val="21"/>
                <w:highlight w:val="none"/>
              </w:rPr>
            </w:pPr>
          </w:p>
        </w:tc>
        <w:tc>
          <w:tcPr>
            <w:tcW w:w="1476" w:type="dxa"/>
            <w:vMerge w:val="continue"/>
            <w:noWrap w:val="0"/>
            <w:vAlign w:val="top"/>
          </w:tcPr>
          <w:p w14:paraId="5AE3582F">
            <w:pPr>
              <w:spacing w:line="360" w:lineRule="auto"/>
              <w:jc w:val="center"/>
              <w:rPr>
                <w:rFonts w:hint="eastAsia" w:ascii="宋体" w:hAnsi="宋体" w:cs="宋体"/>
                <w:color w:val="auto"/>
                <w:kern w:val="0"/>
                <w:szCs w:val="21"/>
                <w:highlight w:val="none"/>
              </w:rPr>
            </w:pPr>
          </w:p>
        </w:tc>
        <w:tc>
          <w:tcPr>
            <w:tcW w:w="6594" w:type="dxa"/>
            <w:noWrap w:val="0"/>
            <w:vAlign w:val="center"/>
          </w:tcPr>
          <w:p w14:paraId="27C13137">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所投分布式存储厂商具备雄厚技术实力与专业数据中心安全应急服务能力，可在存储系统遭遇安全攻击、故障等突发情况时，快速提供合规高效的应急处置支撑，最大限度降低医疗数据泄露、诊疗业务中断风险，保障医院无纸化办公连续稳定。</w:t>
            </w:r>
          </w:p>
        </w:tc>
      </w:tr>
      <w:tr w14:paraId="5B20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top"/>
          </w:tcPr>
          <w:p w14:paraId="66087234">
            <w:pPr>
              <w:pStyle w:val="90"/>
              <w:spacing w:line="360" w:lineRule="auto"/>
              <w:ind w:firstLine="0"/>
              <w:rPr>
                <w:rFonts w:hint="eastAsia" w:ascii="宋体" w:hAnsi="宋体" w:cs="宋体"/>
                <w:color w:val="auto"/>
                <w:szCs w:val="21"/>
                <w:highlight w:val="none"/>
                <w:lang w:eastAsia="zh-CN"/>
              </w:rPr>
            </w:pPr>
          </w:p>
        </w:tc>
        <w:tc>
          <w:tcPr>
            <w:tcW w:w="1476" w:type="dxa"/>
            <w:vMerge w:val="continue"/>
            <w:noWrap w:val="0"/>
            <w:vAlign w:val="top"/>
          </w:tcPr>
          <w:p w14:paraId="5ECC0FCF">
            <w:pPr>
              <w:pStyle w:val="90"/>
              <w:spacing w:line="360" w:lineRule="auto"/>
              <w:ind w:firstLine="0"/>
              <w:rPr>
                <w:rFonts w:hint="eastAsia" w:ascii="宋体" w:hAnsi="宋体" w:cs="宋体"/>
                <w:color w:val="auto"/>
                <w:szCs w:val="21"/>
                <w:highlight w:val="none"/>
                <w:lang w:eastAsia="zh-CN"/>
              </w:rPr>
            </w:pPr>
          </w:p>
        </w:tc>
        <w:tc>
          <w:tcPr>
            <w:tcW w:w="6594" w:type="dxa"/>
            <w:noWrap w:val="0"/>
            <w:vAlign w:val="center"/>
          </w:tcPr>
          <w:p w14:paraId="12E747BD">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存储软件通过国家权威安全检测，符合网络安全强制性标准要求，确保医院核心医疗数据存储安全。</w:t>
            </w:r>
          </w:p>
        </w:tc>
      </w:tr>
      <w:tr w14:paraId="4303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center"/>
          </w:tcPr>
          <w:p w14:paraId="5E6ADA00">
            <w:pPr>
              <w:pStyle w:val="9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cs="宋体"/>
                <w:b/>
                <w:bCs/>
                <w:color w:val="auto"/>
                <w:szCs w:val="21"/>
                <w:highlight w:val="none"/>
                <w:lang w:val="en-US" w:eastAsia="zh-CN"/>
              </w:rPr>
            </w:pPr>
          </w:p>
        </w:tc>
        <w:tc>
          <w:tcPr>
            <w:tcW w:w="1476" w:type="dxa"/>
            <w:vMerge w:val="restart"/>
            <w:noWrap w:val="0"/>
            <w:vAlign w:val="center"/>
          </w:tcPr>
          <w:p w14:paraId="53B5421B">
            <w:pPr>
              <w:pStyle w:val="9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2.2</w:t>
            </w:r>
            <w:r>
              <w:rPr>
                <w:rFonts w:hint="eastAsia" w:ascii="宋体" w:hAnsi="宋体" w:cs="宋体"/>
                <w:b/>
                <w:bCs/>
                <w:color w:val="auto"/>
                <w:szCs w:val="21"/>
                <w:highlight w:val="none"/>
                <w:lang w:eastAsia="zh-CN"/>
              </w:rPr>
              <w:t>业务存储管理交换机</w:t>
            </w:r>
          </w:p>
        </w:tc>
        <w:tc>
          <w:tcPr>
            <w:tcW w:w="6594" w:type="dxa"/>
            <w:noWrap w:val="0"/>
            <w:vAlign w:val="center"/>
          </w:tcPr>
          <w:p w14:paraId="6190AC3A">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设备性能:交换容量≥38Tbps ，包转发率≥7000Mpps，以官网最小值为准；</w:t>
            </w:r>
          </w:p>
        </w:tc>
      </w:tr>
      <w:tr w14:paraId="3FA6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top"/>
          </w:tcPr>
          <w:p w14:paraId="7D6AB4BB">
            <w:pPr>
              <w:pStyle w:val="9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cs="宋体"/>
                <w:b/>
                <w:bCs/>
                <w:color w:val="auto"/>
                <w:szCs w:val="21"/>
                <w:highlight w:val="none"/>
                <w:lang w:eastAsia="zh-CN"/>
              </w:rPr>
            </w:pPr>
          </w:p>
        </w:tc>
        <w:tc>
          <w:tcPr>
            <w:tcW w:w="1476" w:type="dxa"/>
            <w:vMerge w:val="continue"/>
            <w:noWrap w:val="0"/>
            <w:vAlign w:val="top"/>
          </w:tcPr>
          <w:p w14:paraId="630C3B2B">
            <w:pPr>
              <w:pStyle w:val="9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cs="宋体"/>
                <w:b/>
                <w:bCs/>
                <w:color w:val="auto"/>
                <w:szCs w:val="21"/>
                <w:highlight w:val="none"/>
                <w:lang w:eastAsia="zh-CN"/>
              </w:rPr>
            </w:pPr>
          </w:p>
        </w:tc>
        <w:tc>
          <w:tcPr>
            <w:tcW w:w="6594" w:type="dxa"/>
            <w:noWrap w:val="0"/>
            <w:vAlign w:val="center"/>
          </w:tcPr>
          <w:p w14:paraId="1AC8372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单台配置：业务插槽≥8个，万兆以太网光口≥10个,千兆电口≥6个，模块化电源≥2块；万兆光模块≥10个；万兆跳线≥7对</w:t>
            </w:r>
          </w:p>
        </w:tc>
      </w:tr>
      <w:tr w14:paraId="7E41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00" w:type="dxa"/>
            <w:vMerge w:val="continue"/>
            <w:noWrap w:val="0"/>
            <w:vAlign w:val="top"/>
          </w:tcPr>
          <w:p w14:paraId="041C27B6">
            <w:pPr>
              <w:pStyle w:val="9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cs="宋体"/>
                <w:b/>
                <w:bCs/>
                <w:color w:val="auto"/>
                <w:szCs w:val="21"/>
                <w:highlight w:val="none"/>
                <w:lang w:eastAsia="zh-CN"/>
              </w:rPr>
            </w:pPr>
          </w:p>
        </w:tc>
        <w:tc>
          <w:tcPr>
            <w:tcW w:w="1476" w:type="dxa"/>
            <w:vMerge w:val="continue"/>
            <w:noWrap w:val="0"/>
            <w:vAlign w:val="top"/>
          </w:tcPr>
          <w:p w14:paraId="3C9B0F3E">
            <w:pPr>
              <w:pStyle w:val="90"/>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ascii="宋体" w:hAnsi="宋体" w:cs="宋体"/>
                <w:b/>
                <w:bCs/>
                <w:color w:val="auto"/>
                <w:szCs w:val="21"/>
                <w:highlight w:val="none"/>
                <w:lang w:eastAsia="zh-CN"/>
              </w:rPr>
            </w:pPr>
          </w:p>
        </w:tc>
        <w:tc>
          <w:tcPr>
            <w:tcW w:w="6594" w:type="dxa"/>
            <w:noWrap w:val="0"/>
            <w:vAlign w:val="center"/>
          </w:tcPr>
          <w:p w14:paraId="02717A20">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三年质保服务和安装调试服务</w:t>
            </w:r>
          </w:p>
        </w:tc>
      </w:tr>
      <w:tr w14:paraId="3483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7F72FABE">
            <w:pPr>
              <w:pStyle w:val="9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color w:val="auto"/>
                <w:szCs w:val="21"/>
                <w:highlight w:val="none"/>
                <w:lang w:val="en-US" w:eastAsia="zh-CN"/>
              </w:rPr>
            </w:pPr>
          </w:p>
        </w:tc>
        <w:tc>
          <w:tcPr>
            <w:tcW w:w="1476" w:type="dxa"/>
            <w:noWrap w:val="0"/>
            <w:vAlign w:val="center"/>
          </w:tcPr>
          <w:p w14:paraId="29A4B6C5">
            <w:pPr>
              <w:pStyle w:val="9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2.3</w:t>
            </w:r>
            <w:r>
              <w:rPr>
                <w:rFonts w:hint="eastAsia" w:ascii="宋体" w:hAnsi="宋体" w:cs="宋体"/>
                <w:b/>
                <w:bCs/>
                <w:color w:val="auto"/>
                <w:szCs w:val="21"/>
                <w:highlight w:val="none"/>
                <w:lang w:eastAsia="zh-CN"/>
              </w:rPr>
              <w:t>高拍仪</w:t>
            </w:r>
          </w:p>
        </w:tc>
        <w:tc>
          <w:tcPr>
            <w:tcW w:w="6594" w:type="dxa"/>
            <w:noWrap w:val="0"/>
            <w:vAlign w:val="center"/>
          </w:tcPr>
          <w:p w14:paraId="78E2782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内置</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1000万像素图像传感器，最大拍摄幅面A3，内置3级LED补光灯，支持条形码和身份证识别\支持多语言OCR文字识别</w:t>
            </w:r>
          </w:p>
        </w:tc>
      </w:tr>
      <w:tr w14:paraId="0B5A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00" w:type="dxa"/>
            <w:vMerge w:val="restart"/>
            <w:noWrap w:val="0"/>
            <w:vAlign w:val="center"/>
          </w:tcPr>
          <w:p w14:paraId="7B0282FC">
            <w:pPr>
              <w:pStyle w:val="90"/>
              <w:spacing w:line="360" w:lineRule="auto"/>
              <w:ind w:left="0" w:leftChars="0" w:firstLine="0" w:firstLineChars="0"/>
              <w:rPr>
                <w:rFonts w:hint="eastAsia" w:ascii="宋体" w:hAnsi="宋体" w:cs="宋体"/>
                <w:b/>
                <w:color w:val="auto"/>
                <w:szCs w:val="21"/>
                <w:highlight w:val="none"/>
                <w:lang w:eastAsia="zh-CN"/>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第三方业务接口改造</w:t>
            </w:r>
          </w:p>
        </w:tc>
        <w:tc>
          <w:tcPr>
            <w:tcW w:w="1476" w:type="dxa"/>
            <w:noWrap w:val="0"/>
            <w:vAlign w:val="center"/>
          </w:tcPr>
          <w:p w14:paraId="27056643">
            <w:pPr>
              <w:pStyle w:val="90"/>
              <w:spacing w:line="360" w:lineRule="auto"/>
              <w:ind w:left="0" w:leftChars="0" w:firstLine="0" w:firstLineChars="0"/>
              <w:rPr>
                <w:rFonts w:hint="eastAsia" w:ascii="宋体" w:hAnsi="宋体" w:cs="宋体"/>
                <w:b/>
                <w:bCs/>
                <w:color w:val="auto"/>
                <w:szCs w:val="21"/>
                <w:highlight w:val="none"/>
                <w:lang w:eastAsia="zh-CN"/>
              </w:rPr>
            </w:pPr>
            <w:r>
              <w:rPr>
                <w:rFonts w:hint="eastAsia" w:ascii="宋体" w:hAnsi="宋体" w:cs="宋体"/>
                <w:b/>
                <w:color w:val="auto"/>
                <w:szCs w:val="21"/>
                <w:highlight w:val="none"/>
                <w:lang w:eastAsia="zh-CN"/>
              </w:rPr>
              <w:t>3.1</w:t>
            </w:r>
            <w:r>
              <w:rPr>
                <w:rFonts w:hint="eastAsia" w:ascii="宋体" w:hAnsi="宋体" w:cs="宋体"/>
                <w:b/>
                <w:color w:val="auto"/>
                <w:szCs w:val="21"/>
                <w:highlight w:val="none"/>
                <w:lang w:val="en-US" w:eastAsia="zh-CN"/>
              </w:rPr>
              <w:t xml:space="preserve"> </w:t>
            </w:r>
            <w:r>
              <w:rPr>
                <w:rFonts w:hint="eastAsia" w:ascii="宋体" w:hAnsi="宋体" w:cs="宋体"/>
                <w:b/>
                <w:bCs/>
                <w:color w:val="auto"/>
                <w:szCs w:val="21"/>
                <w:highlight w:val="none"/>
                <w:lang w:eastAsia="zh-CN"/>
              </w:rPr>
              <w:t>HIS与电子病历系统</w:t>
            </w:r>
          </w:p>
        </w:tc>
        <w:tc>
          <w:tcPr>
            <w:tcW w:w="6594" w:type="dxa"/>
            <w:noWrap w:val="0"/>
            <w:vAlign w:val="center"/>
          </w:tcPr>
          <w:p w14:paraId="4428CAFC">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满足无纸化系统与院内在用HIS与电子病历系统无缝对接。</w:t>
            </w:r>
          </w:p>
        </w:tc>
      </w:tr>
      <w:tr w14:paraId="3B28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037CB931">
            <w:pPr>
              <w:pStyle w:val="90"/>
              <w:spacing w:line="360" w:lineRule="auto"/>
              <w:ind w:left="0" w:leftChars="0" w:firstLine="0" w:firstLineChars="0"/>
              <w:rPr>
                <w:rFonts w:hint="eastAsia" w:ascii="宋体" w:hAnsi="宋体" w:cs="宋体"/>
                <w:b/>
                <w:color w:val="auto"/>
                <w:szCs w:val="21"/>
                <w:highlight w:val="none"/>
                <w:lang w:eastAsia="zh-CN"/>
              </w:rPr>
            </w:pPr>
          </w:p>
        </w:tc>
        <w:tc>
          <w:tcPr>
            <w:tcW w:w="1476" w:type="dxa"/>
            <w:noWrap w:val="0"/>
            <w:vAlign w:val="center"/>
          </w:tcPr>
          <w:p w14:paraId="7F49B76B">
            <w:pPr>
              <w:pStyle w:val="90"/>
              <w:spacing w:line="360" w:lineRule="auto"/>
              <w:ind w:left="0" w:leftChars="0" w:firstLine="0" w:firstLineChars="0"/>
              <w:rPr>
                <w:rFonts w:hint="eastAsia" w:ascii="宋体" w:hAnsi="宋体" w:cs="宋体"/>
                <w:b/>
                <w:bCs/>
                <w:color w:val="auto"/>
                <w:szCs w:val="21"/>
                <w:highlight w:val="none"/>
                <w:lang w:eastAsia="zh-CN"/>
              </w:rPr>
            </w:pPr>
            <w:r>
              <w:rPr>
                <w:rFonts w:hint="eastAsia" w:ascii="宋体" w:hAnsi="宋体" w:cs="宋体"/>
                <w:b/>
                <w:color w:val="auto"/>
                <w:szCs w:val="21"/>
                <w:highlight w:val="none"/>
                <w:lang w:eastAsia="zh-CN"/>
              </w:rPr>
              <w:t>3.2</w:t>
            </w:r>
            <w:r>
              <w:rPr>
                <w:rFonts w:hint="eastAsia" w:ascii="宋体" w:hAnsi="宋体" w:cs="宋体"/>
                <w:b/>
                <w:color w:val="auto"/>
                <w:szCs w:val="21"/>
                <w:highlight w:val="none"/>
                <w:lang w:val="en-US" w:eastAsia="zh-CN"/>
              </w:rPr>
              <w:t xml:space="preserve"> </w:t>
            </w:r>
            <w:r>
              <w:rPr>
                <w:rFonts w:hint="eastAsia" w:ascii="宋体" w:hAnsi="宋体" w:cs="宋体"/>
                <w:b/>
                <w:bCs/>
                <w:color w:val="auto"/>
                <w:szCs w:val="21"/>
                <w:highlight w:val="none"/>
                <w:lang w:eastAsia="zh-CN"/>
              </w:rPr>
              <w:t>PACS系统</w:t>
            </w:r>
          </w:p>
        </w:tc>
        <w:tc>
          <w:tcPr>
            <w:tcW w:w="6594" w:type="dxa"/>
            <w:noWrap w:val="0"/>
            <w:vAlign w:val="center"/>
          </w:tcPr>
          <w:p w14:paraId="7F86EEC1">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满足无纸化系统与院内在用PACS系统无缝对接。</w:t>
            </w:r>
          </w:p>
        </w:tc>
      </w:tr>
      <w:tr w14:paraId="03FE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5193299E">
            <w:pPr>
              <w:pStyle w:val="90"/>
              <w:spacing w:line="360" w:lineRule="auto"/>
              <w:ind w:left="0" w:leftChars="0" w:firstLine="0" w:firstLineChars="0"/>
              <w:rPr>
                <w:rFonts w:hint="eastAsia" w:ascii="宋体" w:hAnsi="宋体" w:cs="宋体"/>
                <w:b/>
                <w:color w:val="auto"/>
                <w:szCs w:val="21"/>
                <w:highlight w:val="none"/>
                <w:lang w:eastAsia="zh-CN"/>
              </w:rPr>
            </w:pPr>
          </w:p>
        </w:tc>
        <w:tc>
          <w:tcPr>
            <w:tcW w:w="1476" w:type="dxa"/>
            <w:noWrap w:val="0"/>
            <w:vAlign w:val="center"/>
          </w:tcPr>
          <w:p w14:paraId="548E8F22">
            <w:pPr>
              <w:pStyle w:val="90"/>
              <w:spacing w:line="360" w:lineRule="auto"/>
              <w:ind w:left="0" w:leftChars="0" w:firstLine="0" w:firstLineChars="0"/>
              <w:rPr>
                <w:rFonts w:hint="eastAsia" w:ascii="宋体" w:hAnsi="宋体" w:cs="宋体"/>
                <w:b/>
                <w:bCs/>
                <w:color w:val="auto"/>
                <w:szCs w:val="21"/>
                <w:highlight w:val="none"/>
                <w:lang w:eastAsia="zh-CN"/>
              </w:rPr>
            </w:pPr>
            <w:r>
              <w:rPr>
                <w:rFonts w:hint="eastAsia" w:ascii="宋体" w:hAnsi="宋体" w:cs="宋体"/>
                <w:b/>
                <w:color w:val="auto"/>
                <w:szCs w:val="21"/>
                <w:highlight w:val="none"/>
                <w:lang w:eastAsia="zh-CN"/>
              </w:rPr>
              <w:t>3.3</w:t>
            </w:r>
            <w:r>
              <w:rPr>
                <w:rFonts w:hint="eastAsia" w:ascii="宋体" w:hAnsi="宋体" w:cs="宋体"/>
                <w:b/>
                <w:color w:val="auto"/>
                <w:szCs w:val="21"/>
                <w:highlight w:val="none"/>
                <w:lang w:val="en-US" w:eastAsia="zh-CN"/>
              </w:rPr>
              <w:t xml:space="preserve"> </w:t>
            </w:r>
            <w:r>
              <w:rPr>
                <w:rFonts w:hint="eastAsia" w:ascii="宋体" w:hAnsi="宋体" w:cs="宋体"/>
                <w:b/>
                <w:bCs/>
                <w:color w:val="auto"/>
                <w:szCs w:val="21"/>
                <w:highlight w:val="none"/>
                <w:lang w:eastAsia="zh-CN"/>
              </w:rPr>
              <w:t>LIS系统</w:t>
            </w:r>
          </w:p>
        </w:tc>
        <w:tc>
          <w:tcPr>
            <w:tcW w:w="6594" w:type="dxa"/>
            <w:noWrap w:val="0"/>
            <w:vAlign w:val="center"/>
          </w:tcPr>
          <w:p w14:paraId="3F600F23">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满足无纸化系统与院内在用LIS系统无缝对接。</w:t>
            </w:r>
          </w:p>
        </w:tc>
      </w:tr>
      <w:tr w14:paraId="4E7B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5366F3EB">
            <w:pPr>
              <w:pStyle w:val="90"/>
              <w:spacing w:line="360" w:lineRule="auto"/>
              <w:ind w:left="0" w:leftChars="0" w:firstLine="0" w:firstLineChars="0"/>
              <w:rPr>
                <w:rFonts w:hint="eastAsia" w:ascii="宋体" w:hAnsi="宋体" w:cs="宋体"/>
                <w:b/>
                <w:color w:val="auto"/>
                <w:szCs w:val="21"/>
                <w:highlight w:val="none"/>
                <w:lang w:eastAsia="zh-CN"/>
              </w:rPr>
            </w:pPr>
          </w:p>
        </w:tc>
        <w:tc>
          <w:tcPr>
            <w:tcW w:w="1476" w:type="dxa"/>
            <w:noWrap w:val="0"/>
            <w:vAlign w:val="center"/>
          </w:tcPr>
          <w:p w14:paraId="5697BEA0">
            <w:pPr>
              <w:pStyle w:val="90"/>
              <w:spacing w:line="360" w:lineRule="auto"/>
              <w:ind w:left="0" w:leftChars="0" w:firstLine="0" w:firstLineChars="0"/>
              <w:rPr>
                <w:rFonts w:hint="eastAsia" w:ascii="宋体" w:hAnsi="宋体" w:cs="宋体"/>
                <w:b/>
                <w:bCs/>
                <w:color w:val="auto"/>
                <w:szCs w:val="21"/>
                <w:highlight w:val="none"/>
                <w:lang w:eastAsia="zh-CN"/>
              </w:rPr>
            </w:pPr>
            <w:r>
              <w:rPr>
                <w:rFonts w:hint="eastAsia" w:ascii="宋体" w:hAnsi="宋体" w:cs="宋体"/>
                <w:b/>
                <w:color w:val="auto"/>
                <w:szCs w:val="21"/>
                <w:highlight w:val="none"/>
                <w:lang w:eastAsia="zh-CN"/>
              </w:rPr>
              <w:t>3.4</w:t>
            </w:r>
            <w:r>
              <w:rPr>
                <w:rFonts w:hint="eastAsia" w:ascii="宋体" w:hAnsi="宋体" w:cs="宋体"/>
                <w:b/>
                <w:bCs/>
                <w:color w:val="auto"/>
                <w:szCs w:val="21"/>
                <w:highlight w:val="none"/>
                <w:lang w:eastAsia="zh-CN"/>
              </w:rPr>
              <w:t>重症监护系统</w:t>
            </w:r>
          </w:p>
        </w:tc>
        <w:tc>
          <w:tcPr>
            <w:tcW w:w="6594" w:type="dxa"/>
            <w:noWrap w:val="0"/>
            <w:vAlign w:val="center"/>
          </w:tcPr>
          <w:p w14:paraId="04081FB2">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满足无纸化系统与院内在用重症监护系统无缝对接。</w:t>
            </w:r>
          </w:p>
        </w:tc>
      </w:tr>
      <w:tr w14:paraId="4917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10CBA641">
            <w:pPr>
              <w:pStyle w:val="90"/>
              <w:spacing w:line="360" w:lineRule="auto"/>
              <w:ind w:left="0" w:leftChars="0" w:firstLine="0" w:firstLineChars="0"/>
              <w:rPr>
                <w:rFonts w:hint="eastAsia" w:ascii="宋体" w:hAnsi="宋体" w:cs="宋体"/>
                <w:b/>
                <w:color w:val="auto"/>
                <w:szCs w:val="21"/>
                <w:highlight w:val="none"/>
                <w:lang w:eastAsia="zh-CN"/>
              </w:rPr>
            </w:pPr>
          </w:p>
        </w:tc>
        <w:tc>
          <w:tcPr>
            <w:tcW w:w="1476" w:type="dxa"/>
            <w:noWrap w:val="0"/>
            <w:vAlign w:val="center"/>
          </w:tcPr>
          <w:p w14:paraId="60B6B021">
            <w:pPr>
              <w:pStyle w:val="90"/>
              <w:spacing w:line="360" w:lineRule="auto"/>
              <w:ind w:left="0" w:leftChars="0" w:firstLine="0" w:firstLineChars="0"/>
              <w:rPr>
                <w:rFonts w:hint="eastAsia" w:ascii="宋体" w:hAnsi="宋体" w:cs="宋体"/>
                <w:b/>
                <w:bCs/>
                <w:color w:val="auto"/>
                <w:szCs w:val="21"/>
                <w:highlight w:val="none"/>
                <w:lang w:eastAsia="zh-CN"/>
              </w:rPr>
            </w:pPr>
            <w:r>
              <w:rPr>
                <w:rFonts w:hint="eastAsia" w:ascii="宋体" w:hAnsi="宋体" w:cs="宋体"/>
                <w:b/>
                <w:color w:val="auto"/>
                <w:szCs w:val="21"/>
                <w:highlight w:val="none"/>
                <w:lang w:eastAsia="zh-CN"/>
              </w:rPr>
              <w:t>3.5</w:t>
            </w:r>
            <w:r>
              <w:rPr>
                <w:rFonts w:hint="eastAsia" w:ascii="宋体" w:hAnsi="宋体" w:cs="宋体"/>
                <w:b/>
                <w:bCs/>
                <w:color w:val="auto"/>
                <w:szCs w:val="21"/>
                <w:highlight w:val="none"/>
                <w:lang w:eastAsia="zh-CN"/>
              </w:rPr>
              <w:t>手术麻醉系统</w:t>
            </w:r>
          </w:p>
        </w:tc>
        <w:tc>
          <w:tcPr>
            <w:tcW w:w="6594" w:type="dxa"/>
            <w:noWrap w:val="0"/>
            <w:vAlign w:val="center"/>
          </w:tcPr>
          <w:p w14:paraId="6B1E8D3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满足无纸化系统与院内在用手术麻醉系统无缝对接。</w:t>
            </w:r>
          </w:p>
        </w:tc>
      </w:tr>
      <w:tr w14:paraId="3DC2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40C545E2">
            <w:pPr>
              <w:pStyle w:val="90"/>
              <w:spacing w:line="360" w:lineRule="auto"/>
              <w:ind w:left="0" w:leftChars="0" w:firstLine="0" w:firstLineChars="0"/>
              <w:rPr>
                <w:rFonts w:hint="eastAsia" w:ascii="宋体" w:hAnsi="宋体" w:cs="宋体"/>
                <w:b/>
                <w:color w:val="auto"/>
                <w:szCs w:val="21"/>
                <w:highlight w:val="none"/>
                <w:lang w:eastAsia="zh-CN"/>
              </w:rPr>
            </w:pPr>
          </w:p>
        </w:tc>
        <w:tc>
          <w:tcPr>
            <w:tcW w:w="1476" w:type="dxa"/>
            <w:noWrap w:val="0"/>
            <w:vAlign w:val="center"/>
          </w:tcPr>
          <w:p w14:paraId="406A2401">
            <w:pPr>
              <w:pStyle w:val="90"/>
              <w:spacing w:line="360" w:lineRule="auto"/>
              <w:ind w:left="0" w:leftChars="0" w:firstLine="0" w:firstLineChars="0"/>
              <w:rPr>
                <w:rFonts w:hint="eastAsia" w:ascii="宋体" w:hAnsi="宋体" w:cs="宋体"/>
                <w:b/>
                <w:bCs/>
                <w:color w:val="auto"/>
                <w:szCs w:val="21"/>
                <w:highlight w:val="none"/>
                <w:lang w:eastAsia="zh-CN"/>
              </w:rPr>
            </w:pPr>
            <w:r>
              <w:rPr>
                <w:rFonts w:hint="eastAsia" w:ascii="宋体" w:hAnsi="宋体" w:cs="宋体"/>
                <w:b/>
                <w:color w:val="auto"/>
                <w:szCs w:val="21"/>
                <w:highlight w:val="none"/>
                <w:lang w:eastAsia="zh-CN"/>
              </w:rPr>
              <w:t>3.6</w:t>
            </w:r>
            <w:r>
              <w:rPr>
                <w:rFonts w:hint="eastAsia" w:ascii="宋体" w:hAnsi="宋体" w:cs="宋体"/>
                <w:b/>
                <w:bCs/>
                <w:color w:val="auto"/>
                <w:szCs w:val="21"/>
                <w:highlight w:val="none"/>
                <w:lang w:eastAsia="zh-CN"/>
              </w:rPr>
              <w:t>心电系统</w:t>
            </w:r>
          </w:p>
        </w:tc>
        <w:tc>
          <w:tcPr>
            <w:tcW w:w="6594" w:type="dxa"/>
            <w:noWrap w:val="0"/>
            <w:vAlign w:val="center"/>
          </w:tcPr>
          <w:p w14:paraId="3BB6885B">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满足无纸化系统与院内在用心电系统无缝对接。</w:t>
            </w:r>
          </w:p>
        </w:tc>
      </w:tr>
      <w:tr w14:paraId="1F7D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00" w:type="dxa"/>
            <w:vMerge w:val="continue"/>
            <w:noWrap w:val="0"/>
            <w:vAlign w:val="center"/>
          </w:tcPr>
          <w:p w14:paraId="2998DA98">
            <w:pPr>
              <w:pStyle w:val="90"/>
              <w:spacing w:line="360" w:lineRule="auto"/>
              <w:ind w:left="0" w:leftChars="0" w:firstLine="0" w:firstLineChars="0"/>
              <w:rPr>
                <w:rFonts w:hint="eastAsia" w:ascii="宋体" w:hAnsi="宋体" w:cs="宋体"/>
                <w:b/>
                <w:color w:val="auto"/>
                <w:szCs w:val="21"/>
                <w:highlight w:val="none"/>
                <w:lang w:eastAsia="zh-CN"/>
              </w:rPr>
            </w:pPr>
          </w:p>
        </w:tc>
        <w:tc>
          <w:tcPr>
            <w:tcW w:w="1476" w:type="dxa"/>
            <w:noWrap w:val="0"/>
            <w:vAlign w:val="center"/>
          </w:tcPr>
          <w:p w14:paraId="5ED6BA55">
            <w:pPr>
              <w:pStyle w:val="90"/>
              <w:spacing w:line="360" w:lineRule="auto"/>
              <w:ind w:left="0" w:leftChars="0" w:firstLine="0" w:firstLineChars="0"/>
              <w:rPr>
                <w:rFonts w:hint="eastAsia" w:ascii="宋体" w:hAnsi="宋体" w:cs="宋体"/>
                <w:b/>
                <w:bCs/>
                <w:color w:val="auto"/>
                <w:szCs w:val="21"/>
                <w:highlight w:val="none"/>
                <w:lang w:eastAsia="zh-CN"/>
              </w:rPr>
            </w:pPr>
            <w:r>
              <w:rPr>
                <w:rFonts w:hint="eastAsia" w:ascii="宋体" w:hAnsi="宋体" w:cs="宋体"/>
                <w:b/>
                <w:color w:val="auto"/>
                <w:szCs w:val="21"/>
                <w:highlight w:val="none"/>
                <w:lang w:eastAsia="zh-CN"/>
              </w:rPr>
              <w:t>3.7</w:t>
            </w:r>
            <w:r>
              <w:rPr>
                <w:rFonts w:hint="eastAsia" w:ascii="宋体" w:hAnsi="宋体" w:cs="宋体"/>
                <w:b/>
                <w:bCs/>
                <w:color w:val="auto"/>
                <w:szCs w:val="21"/>
                <w:highlight w:val="none"/>
                <w:lang w:eastAsia="zh-CN"/>
              </w:rPr>
              <w:t>输血系统</w:t>
            </w:r>
          </w:p>
        </w:tc>
        <w:tc>
          <w:tcPr>
            <w:tcW w:w="6594" w:type="dxa"/>
            <w:noWrap w:val="0"/>
            <w:vAlign w:val="center"/>
          </w:tcPr>
          <w:p w14:paraId="33A48844">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满足无纸化系统与院内在用输血系统无缝对接。</w:t>
            </w:r>
          </w:p>
        </w:tc>
      </w:tr>
      <w:tr w14:paraId="64D5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9170" w:type="dxa"/>
            <w:gridSpan w:val="3"/>
            <w:noWrap w:val="0"/>
            <w:vAlign w:val="center"/>
          </w:tcPr>
          <w:p w14:paraId="1FD62728">
            <w:pPr>
              <w:pStyle w:val="90"/>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备注：招标结束后，采购人会核对成交人所提供的投标产品，逐条核验硬件产品参数和软件产品功能,成交人需配合采购人完成相关工作；验收时，分布式存储</w:t>
            </w:r>
            <w:r>
              <w:rPr>
                <w:rFonts w:hint="eastAsia" w:ascii="宋体" w:hAnsi="宋体" w:cs="宋体"/>
                <w:color w:val="auto"/>
                <w:szCs w:val="21"/>
                <w:highlight w:val="none"/>
                <w:lang w:eastAsia="zh-CN"/>
              </w:rPr>
              <w:t>产品制造商需提供权威机构第三方证明材料，</w:t>
            </w:r>
            <w:r>
              <w:rPr>
                <w:rFonts w:hint="eastAsia" w:ascii="宋体" w:hAnsi="宋体" w:cs="宋体"/>
                <w:color w:val="auto"/>
                <w:szCs w:val="21"/>
                <w:highlight w:val="none"/>
                <w:lang w:val="en-US" w:eastAsia="zh-CN"/>
              </w:rPr>
              <w:t>如发现与招投标文件不相符，将依法追究相关法律责任。</w:t>
            </w:r>
          </w:p>
        </w:tc>
      </w:tr>
    </w:tbl>
    <w:p w14:paraId="68158DBA">
      <w:pPr>
        <w:widowControl/>
        <w:shd w:val="clear"/>
        <w:spacing w:line="360" w:lineRule="auto"/>
        <w:ind w:firstLine="482" w:firstLineChars="200"/>
        <w:rPr>
          <w:rFonts w:hint="eastAsia" w:asciiTheme="minorEastAsia" w:hAnsiTheme="minorEastAsia" w:eastAsiaTheme="minorEastAsia" w:cstheme="minorEastAsia"/>
          <w:b/>
          <w:bCs/>
          <w:color w:val="auto"/>
          <w:sz w:val="24"/>
          <w:highlight w:val="none"/>
        </w:rPr>
      </w:pPr>
    </w:p>
    <w:p w14:paraId="406A2D81">
      <w:pPr>
        <w:widowControl/>
        <w:shd w:val="clear"/>
        <w:spacing w:line="24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注：本招标项目必须要实质性满足技术要求和商务要求：</w:t>
      </w:r>
    </w:p>
    <w:p w14:paraId="1FC8CDA2">
      <w:pPr>
        <w:widowControl/>
        <w:numPr>
          <w:ilvl w:val="0"/>
          <w:numId w:val="3"/>
        </w:numPr>
        <w:shd w:val="clear"/>
        <w:spacing w:line="240" w:lineRule="auto"/>
        <w:ind w:firstLine="482"/>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供应商提供的货物必须是原装全新、高于或等于谈判文件规定技术参数的产品。所投产品不满足或不能完全满足谈判文件规定的技术参数要求的，作无效响应处理。</w:t>
      </w:r>
    </w:p>
    <w:p w14:paraId="53BFE167">
      <w:pPr>
        <w:widowControl/>
        <w:numPr>
          <w:ilvl w:val="0"/>
          <w:numId w:val="3"/>
        </w:numPr>
        <w:shd w:val="clear"/>
        <w:spacing w:line="240" w:lineRule="auto"/>
        <w:ind w:left="0" w:leftChars="0" w:firstLine="482" w:firstLineChars="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58D93538">
      <w:pPr>
        <w:spacing w:line="360" w:lineRule="auto"/>
        <w:ind w:firstLine="482" w:firstLineChars="2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3、</w:t>
      </w:r>
      <w:r>
        <w:rPr>
          <w:rFonts w:hint="eastAsia" w:asciiTheme="minorEastAsia" w:hAnsiTheme="minorEastAsia" w:eastAsiaTheme="minorEastAsia" w:cstheme="minorEastAsia"/>
          <w:b/>
          <w:bCs/>
          <w:color w:val="auto"/>
          <w:sz w:val="24"/>
          <w:highlight w:val="none"/>
        </w:rPr>
        <w:t>本项目核心产品：无纸化病案管理系统。</w:t>
      </w:r>
    </w:p>
    <w:p w14:paraId="2611E087">
      <w:pPr>
        <w:pStyle w:val="2"/>
        <w:spacing w:before="0" w:after="0"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本标的所属行业：</w:t>
      </w:r>
      <w:r>
        <w:rPr>
          <w:rFonts w:hint="eastAsia" w:asciiTheme="minorEastAsia" w:hAnsiTheme="minorEastAsia" w:eastAsiaTheme="minorEastAsia" w:cstheme="minorEastAsia"/>
          <w:color w:val="auto"/>
          <w:sz w:val="24"/>
          <w:highlight w:val="none"/>
          <w:lang w:val="en-US" w:eastAsia="zh-CN"/>
        </w:rPr>
        <w:t>软件和信息技术服务业</w:t>
      </w:r>
      <w:r>
        <w:rPr>
          <w:rFonts w:hint="eastAsia" w:asciiTheme="minorEastAsia" w:hAnsiTheme="minorEastAsia" w:eastAsiaTheme="minorEastAsia" w:cstheme="minorEastAsia"/>
          <w:color w:val="auto"/>
          <w:sz w:val="24"/>
          <w:highlight w:val="none"/>
        </w:rPr>
        <w:t>。</w:t>
      </w:r>
    </w:p>
    <w:p w14:paraId="135B5EF5">
      <w:pPr>
        <w:shd w:val="clear"/>
        <w:rPr>
          <w:rFonts w:hint="eastAsia"/>
          <w:color w:val="auto"/>
          <w:highlight w:val="none"/>
        </w:rPr>
      </w:pPr>
    </w:p>
    <w:p w14:paraId="08758CDC">
      <w:pPr>
        <w:shd w:val="clear"/>
        <w:rPr>
          <w:rFonts w:hint="eastAsia"/>
          <w:color w:val="auto"/>
          <w:kern w:val="0"/>
          <w:sz w:val="28"/>
          <w:szCs w:val="28"/>
          <w:highlight w:val="none"/>
        </w:rPr>
      </w:pPr>
      <w:bookmarkStart w:id="29" w:name="_Toc27476"/>
      <w:r>
        <w:rPr>
          <w:rFonts w:hint="eastAsia"/>
          <w:color w:val="auto"/>
          <w:kern w:val="0"/>
          <w:sz w:val="28"/>
          <w:szCs w:val="28"/>
          <w:highlight w:val="none"/>
        </w:rPr>
        <w:br w:type="page"/>
      </w:r>
    </w:p>
    <w:p w14:paraId="5A65A6EC">
      <w:pPr>
        <w:pStyle w:val="2"/>
        <w:shd w:val="clear"/>
        <w:spacing w:before="0" w:after="0" w:line="360" w:lineRule="auto"/>
        <w:jc w:val="center"/>
        <w:rPr>
          <w:color w:val="auto"/>
          <w:kern w:val="0"/>
          <w:sz w:val="28"/>
          <w:szCs w:val="28"/>
          <w:highlight w:val="none"/>
        </w:rPr>
      </w:pPr>
      <w:r>
        <w:rPr>
          <w:rFonts w:hint="eastAsia"/>
          <w:color w:val="auto"/>
          <w:kern w:val="0"/>
          <w:sz w:val="28"/>
          <w:szCs w:val="28"/>
          <w:highlight w:val="none"/>
        </w:rPr>
        <w:t>第六部分 合同格式及主要条款</w:t>
      </w:r>
      <w:bookmarkEnd w:id="29"/>
    </w:p>
    <w:p w14:paraId="5FE6ABC8">
      <w:pPr>
        <w:keepNext w:val="0"/>
        <w:keepLines w:val="0"/>
        <w:pageBreakBefore w:val="0"/>
        <w:widowControl/>
        <w:suppressLineNumbers w:val="0"/>
        <w:shd w:val="clear"/>
        <w:kinsoku/>
        <w:wordWrap/>
        <w:overflowPunct/>
        <w:topLinePunct w:val="0"/>
        <w:autoSpaceDE/>
        <w:autoSpaceDN/>
        <w:bidi w:val="0"/>
        <w:adjustRightInd/>
        <w:snapToGrid/>
        <w:spacing w:line="480" w:lineRule="exact"/>
        <w:ind w:firstLine="420" w:firstLineChars="200"/>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（仅限参考，以最终签订为准）</w:t>
      </w:r>
    </w:p>
    <w:p w14:paraId="3B6E3D74">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p w14:paraId="30B4F720">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采购方（甲方）：</w:t>
      </w:r>
    </w:p>
    <w:p w14:paraId="7F85431B">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供货方（乙方）：</w:t>
      </w:r>
    </w:p>
    <w:p w14:paraId="0FF0C2C9">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签订地点： </w:t>
      </w:r>
    </w:p>
    <w:p w14:paraId="35EF64DB">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0D54D257">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》及有关法律法规，为维护双方的合法权益，甲、乙双方在平等互利、诚实信用的基础上，经友好协商，签订本合同，双方共同遵守执行。</w:t>
      </w:r>
    </w:p>
    <w:p w14:paraId="7E72C8C2">
      <w:pPr>
        <w:keepNext w:val="0"/>
        <w:keepLines w:val="0"/>
        <w:pageBreakBefore w:val="0"/>
        <w:widowControl/>
        <w:shd w:val="clear"/>
        <w:tabs>
          <w:tab w:val="left" w:pos="0"/>
          <w:tab w:val="left" w:pos="1620"/>
        </w:tabs>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w:t>
      </w:r>
      <w:bookmarkStart w:id="30" w:name="_Toc11061"/>
      <w:bookmarkStart w:id="31" w:name="_Toc770"/>
      <w:r>
        <w:rPr>
          <w:rFonts w:hint="eastAsia" w:ascii="宋体" w:hAnsi="宋体" w:eastAsia="宋体" w:cs="宋体"/>
          <w:color w:val="auto"/>
          <w:sz w:val="24"/>
          <w:szCs w:val="24"/>
          <w:highlight w:val="none"/>
        </w:rPr>
        <w:t>一、合同授予</w:t>
      </w:r>
      <w:bookmarkEnd w:id="30"/>
      <w:bookmarkEnd w:id="31"/>
    </w:p>
    <w:p w14:paraId="4BAB4813">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)甲方为采购方，经批准，用</w:t>
      </w:r>
      <w:r>
        <w:rPr>
          <w:rFonts w:hint="eastAsia" w:ascii="宋体" w:hAnsi="宋体" w:eastAsia="宋体" w:cs="宋体"/>
          <w:color w:val="auto"/>
          <w:sz w:val="24"/>
          <w:szCs w:val="24"/>
          <w:highlight w:val="none"/>
          <w:lang w:eastAsia="zh-CN"/>
        </w:rPr>
        <w:t>竞争性谈判</w:t>
      </w:r>
      <w:r>
        <w:rPr>
          <w:rFonts w:hint="eastAsia" w:ascii="宋体" w:hAnsi="宋体" w:eastAsia="宋体" w:cs="宋体"/>
          <w:color w:val="auto"/>
          <w:sz w:val="24"/>
          <w:szCs w:val="24"/>
          <w:highlight w:val="none"/>
        </w:rPr>
        <w:t>方式采购，经本项目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认真评审，决定将采购合同授予乙方。</w:t>
      </w:r>
    </w:p>
    <w:p w14:paraId="6D8595A5">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32" w:name="_Toc27372"/>
      <w:bookmarkStart w:id="33" w:name="_Toc31375"/>
      <w:r>
        <w:rPr>
          <w:rFonts w:hint="eastAsia" w:ascii="宋体" w:hAnsi="宋体" w:eastAsia="宋体" w:cs="宋体"/>
          <w:color w:val="auto"/>
          <w:sz w:val="24"/>
          <w:szCs w:val="24"/>
          <w:highlight w:val="none"/>
        </w:rPr>
        <w:t>二、合同文件组成</w:t>
      </w:r>
      <w:bookmarkEnd w:id="32"/>
      <w:bookmarkEnd w:id="33"/>
    </w:p>
    <w:p w14:paraId="493CFF76">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1.本合同条款；2.</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通知书；3.乙方</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文件；4.</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文件；5.其它相关文件。</w:t>
      </w:r>
    </w:p>
    <w:p w14:paraId="7A867B05">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上述所指合同文件应认为是互相补充和解释的，如有不一致之处，以其所列内容顺序为准。</w:t>
      </w:r>
    </w:p>
    <w:p w14:paraId="049E9CA8">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34" w:name="_Toc29101"/>
      <w:bookmarkStart w:id="35" w:name="_Toc25826"/>
      <w:r>
        <w:rPr>
          <w:rFonts w:hint="eastAsia" w:ascii="宋体" w:hAnsi="宋体" w:eastAsia="宋体" w:cs="宋体"/>
          <w:color w:val="auto"/>
          <w:sz w:val="24"/>
          <w:szCs w:val="24"/>
          <w:highlight w:val="none"/>
        </w:rPr>
        <w:t>三、合同采购产品名称、规格型号、数量、单价和总价</w:t>
      </w:r>
      <w:bookmarkEnd w:id="34"/>
      <w:bookmarkEnd w:id="35"/>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7"/>
        <w:gridCol w:w="1626"/>
        <w:gridCol w:w="1665"/>
        <w:gridCol w:w="915"/>
        <w:gridCol w:w="1155"/>
        <w:gridCol w:w="1050"/>
        <w:gridCol w:w="998"/>
      </w:tblGrid>
      <w:tr w14:paraId="574D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1467" w:type="dxa"/>
            <w:noWrap w:val="0"/>
            <w:vAlign w:val="center"/>
          </w:tcPr>
          <w:p w14:paraId="6F141EDC">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626" w:type="dxa"/>
            <w:noWrap w:val="0"/>
            <w:vAlign w:val="center"/>
          </w:tcPr>
          <w:p w14:paraId="0353753E">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rPr>
              <w:t>规格型号</w:t>
            </w:r>
          </w:p>
        </w:tc>
        <w:tc>
          <w:tcPr>
            <w:tcW w:w="1665" w:type="dxa"/>
            <w:noWrap w:val="0"/>
            <w:vAlign w:val="center"/>
          </w:tcPr>
          <w:p w14:paraId="6CEDA2DE">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产地、生产商</w:t>
            </w:r>
          </w:p>
        </w:tc>
        <w:tc>
          <w:tcPr>
            <w:tcW w:w="915" w:type="dxa"/>
            <w:noWrap w:val="0"/>
            <w:vAlign w:val="center"/>
          </w:tcPr>
          <w:p w14:paraId="0BAA7D14">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155" w:type="dxa"/>
            <w:noWrap w:val="0"/>
            <w:vAlign w:val="center"/>
          </w:tcPr>
          <w:p w14:paraId="335DAF5B">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0" w:type="dxa"/>
            <w:noWrap w:val="0"/>
            <w:vAlign w:val="center"/>
          </w:tcPr>
          <w:p w14:paraId="44CA2C6E">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98" w:type="dxa"/>
            <w:noWrap w:val="0"/>
            <w:vAlign w:val="center"/>
          </w:tcPr>
          <w:p w14:paraId="0566993F">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r>
      <w:tr w14:paraId="2245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jc w:val="center"/>
        </w:trPr>
        <w:tc>
          <w:tcPr>
            <w:tcW w:w="1467" w:type="dxa"/>
            <w:noWrap w:val="0"/>
            <w:vAlign w:val="top"/>
          </w:tcPr>
          <w:p w14:paraId="5F268A8A">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1626" w:type="dxa"/>
            <w:noWrap w:val="0"/>
            <w:vAlign w:val="top"/>
          </w:tcPr>
          <w:p w14:paraId="5A9DEA16">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1665" w:type="dxa"/>
            <w:noWrap w:val="0"/>
            <w:vAlign w:val="top"/>
          </w:tcPr>
          <w:p w14:paraId="5AE03FF0">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915" w:type="dxa"/>
            <w:noWrap w:val="0"/>
            <w:vAlign w:val="top"/>
          </w:tcPr>
          <w:p w14:paraId="66C077D8">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1155" w:type="dxa"/>
            <w:noWrap w:val="0"/>
            <w:vAlign w:val="top"/>
          </w:tcPr>
          <w:p w14:paraId="515DA877">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1050" w:type="dxa"/>
            <w:noWrap w:val="0"/>
            <w:vAlign w:val="top"/>
          </w:tcPr>
          <w:p w14:paraId="346F8A21">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998" w:type="dxa"/>
            <w:noWrap w:val="0"/>
            <w:vAlign w:val="top"/>
          </w:tcPr>
          <w:p w14:paraId="1B345144">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r>
      <w:tr w14:paraId="3B095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67" w:type="dxa"/>
            <w:noWrap w:val="0"/>
            <w:vAlign w:val="top"/>
          </w:tcPr>
          <w:p w14:paraId="6AC9B919">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1626" w:type="dxa"/>
            <w:noWrap w:val="0"/>
            <w:vAlign w:val="top"/>
          </w:tcPr>
          <w:p w14:paraId="2356C0BC">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1665" w:type="dxa"/>
            <w:noWrap w:val="0"/>
            <w:vAlign w:val="top"/>
          </w:tcPr>
          <w:p w14:paraId="31DC732E">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915" w:type="dxa"/>
            <w:noWrap w:val="0"/>
            <w:vAlign w:val="top"/>
          </w:tcPr>
          <w:p w14:paraId="42293FA2">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1155" w:type="dxa"/>
            <w:noWrap w:val="0"/>
            <w:vAlign w:val="top"/>
          </w:tcPr>
          <w:p w14:paraId="6CB3BC3B">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1050" w:type="dxa"/>
            <w:noWrap w:val="0"/>
            <w:vAlign w:val="top"/>
          </w:tcPr>
          <w:p w14:paraId="23578409">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c>
          <w:tcPr>
            <w:tcW w:w="998" w:type="dxa"/>
            <w:noWrap w:val="0"/>
            <w:vAlign w:val="top"/>
          </w:tcPr>
          <w:p w14:paraId="4B7260AA">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p>
        </w:tc>
      </w:tr>
      <w:tr w14:paraId="3711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3093" w:type="dxa"/>
            <w:gridSpan w:val="2"/>
            <w:noWrap w:val="0"/>
            <w:vAlign w:val="top"/>
          </w:tcPr>
          <w:p w14:paraId="2A1050CB">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总合计：</w:t>
            </w:r>
          </w:p>
        </w:tc>
        <w:tc>
          <w:tcPr>
            <w:tcW w:w="5783" w:type="dxa"/>
            <w:gridSpan w:val="5"/>
            <w:noWrap w:val="0"/>
            <w:vAlign w:val="top"/>
          </w:tcPr>
          <w:p w14:paraId="65EB8326">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         万元；小写：      万元</w:t>
            </w:r>
          </w:p>
        </w:tc>
      </w:tr>
    </w:tbl>
    <w:p w14:paraId="1F661DD1">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715E142B">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备注：合同总价包含装卸、运输、保险、税费和售后服务（保修期内备件、安装、调试、培训费用等）所需费用。</w:t>
      </w:r>
    </w:p>
    <w:p w14:paraId="4474C53F">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bookmarkStart w:id="36" w:name="_Toc1244"/>
      <w:bookmarkStart w:id="37" w:name="_Toc26868"/>
      <w:r>
        <w:rPr>
          <w:rFonts w:hint="eastAsia" w:ascii="宋体" w:hAnsi="宋体" w:eastAsia="宋体" w:cs="宋体"/>
          <w:color w:val="auto"/>
          <w:sz w:val="24"/>
          <w:szCs w:val="24"/>
          <w:highlight w:val="none"/>
        </w:rPr>
        <w:t>四、 产品的要求和技术标准</w:t>
      </w:r>
      <w:bookmarkEnd w:id="36"/>
      <w:bookmarkEnd w:id="37"/>
    </w:p>
    <w:p w14:paraId="0FC7F67C">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1、质量要求和技术标准按招标文件和乙方</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 xml:space="preserve">文件执行 。  </w:t>
      </w:r>
    </w:p>
    <w:p w14:paraId="09AAF12B">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2、乙方提供货物产品应是货物厂家授权许可，应保证需方不受到第三方关于侵权的指控，并承担由于提供供货而引起的一切法律责任、费用和后果。      </w:t>
      </w:r>
    </w:p>
    <w:p w14:paraId="216153DB">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bookmarkStart w:id="38" w:name="_Toc4048"/>
      <w:bookmarkStart w:id="39" w:name="_Toc19306"/>
      <w:r>
        <w:rPr>
          <w:rFonts w:hint="eastAsia" w:ascii="宋体" w:hAnsi="宋体" w:eastAsia="宋体" w:cs="宋体"/>
          <w:color w:val="auto"/>
          <w:sz w:val="24"/>
          <w:szCs w:val="24"/>
          <w:highlight w:val="none"/>
        </w:rPr>
        <w:t>五、交货期限</w:t>
      </w:r>
      <w:bookmarkEnd w:id="38"/>
      <w:bookmarkEnd w:id="39"/>
    </w:p>
    <w:p w14:paraId="37315933">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1、合同履行期限及地点和方式：</w:t>
      </w:r>
    </w:p>
    <w:p w14:paraId="7C01DB35">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ind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供货安装期</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w:t>
      </w:r>
    </w:p>
    <w:p w14:paraId="11994D92">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2、供货安装地点：</w:t>
      </w:r>
      <w:r>
        <w:rPr>
          <w:rFonts w:hint="eastAsia" w:ascii="宋体" w:hAnsi="宋体" w:eastAsia="宋体" w:cs="宋体"/>
          <w:color w:val="auto"/>
          <w:sz w:val="24"/>
          <w:szCs w:val="24"/>
          <w:highlight w:val="none"/>
          <w:lang w:val="en-US" w:eastAsia="zh-CN"/>
        </w:rPr>
        <w:t>____________</w:t>
      </w:r>
      <w:r>
        <w:rPr>
          <w:rFonts w:hint="eastAsia" w:ascii="宋体" w:hAnsi="宋体" w:eastAsia="宋体" w:cs="宋体"/>
          <w:color w:val="auto"/>
          <w:sz w:val="24"/>
          <w:szCs w:val="24"/>
          <w:highlight w:val="none"/>
        </w:rPr>
        <w:t xml:space="preserve">  </w:t>
      </w:r>
    </w:p>
    <w:p w14:paraId="75860D66">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3、质量标准：</w:t>
      </w:r>
      <w:r>
        <w:rPr>
          <w:rFonts w:hint="eastAsia" w:ascii="宋体" w:hAnsi="宋体" w:eastAsia="宋体" w:cs="宋体"/>
          <w:color w:val="auto"/>
          <w:sz w:val="24"/>
          <w:szCs w:val="24"/>
          <w:highlight w:val="none"/>
          <w:lang w:val="en-US" w:eastAsia="zh-CN"/>
        </w:rPr>
        <w:t>________________</w:t>
      </w:r>
      <w:r>
        <w:rPr>
          <w:rFonts w:hint="eastAsia" w:ascii="宋体" w:hAnsi="宋体" w:eastAsia="宋体" w:cs="宋体"/>
          <w:color w:val="auto"/>
          <w:sz w:val="24"/>
          <w:szCs w:val="24"/>
          <w:highlight w:val="none"/>
        </w:rPr>
        <w:t xml:space="preserve">                      </w:t>
      </w:r>
    </w:p>
    <w:p w14:paraId="738BE03F">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w:t>
      </w:r>
      <w:r>
        <w:rPr>
          <w:rFonts w:hint="eastAsia" w:ascii="宋体" w:hAnsi="宋体" w:eastAsia="宋体" w:cs="宋体"/>
          <w:color w:val="auto"/>
          <w:sz w:val="24"/>
          <w:szCs w:val="24"/>
          <w:highlight w:val="none"/>
          <w:lang w:val="en-US" w:eastAsia="zh-CN"/>
        </w:rPr>
        <w:t>______________</w:t>
      </w:r>
      <w:r>
        <w:rPr>
          <w:rFonts w:hint="eastAsia" w:ascii="宋体" w:hAnsi="宋体" w:eastAsia="宋体" w:cs="宋体"/>
          <w:color w:val="auto"/>
          <w:sz w:val="24"/>
          <w:szCs w:val="24"/>
          <w:highlight w:val="none"/>
        </w:rPr>
        <w:t xml:space="preserve">   </w:t>
      </w:r>
    </w:p>
    <w:p w14:paraId="5B453059">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5、乙方负责送货，供货地为甲方指定地点。供货上门到采购方所产生的装卸、运输、保险、税金和售后服务等所需费用由供货方承担。 </w:t>
      </w:r>
    </w:p>
    <w:p w14:paraId="6877878B">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、运输过程中的任何安全事故均由乙方负责。</w:t>
      </w:r>
    </w:p>
    <w:p w14:paraId="69470EEA">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、若因乙方运输装卸原因，造成产品损坏，损失由乙方承担。</w:t>
      </w:r>
    </w:p>
    <w:p w14:paraId="39682959">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、质保期按合同（8.1条款）约定内容执行，在质保期限内货物非甲方原因所出现的所有质量问题，均由乙方承担。</w:t>
      </w:r>
    </w:p>
    <w:p w14:paraId="7AFC7651">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bookmarkStart w:id="40" w:name="_Toc28825"/>
      <w:bookmarkStart w:id="41" w:name="_Toc12544"/>
      <w:r>
        <w:rPr>
          <w:rFonts w:hint="eastAsia" w:ascii="宋体" w:hAnsi="宋体" w:eastAsia="宋体" w:cs="宋体"/>
          <w:color w:val="auto"/>
          <w:sz w:val="24"/>
          <w:szCs w:val="24"/>
          <w:highlight w:val="none"/>
        </w:rPr>
        <w:t>六、供货实施细节</w:t>
      </w:r>
      <w:bookmarkEnd w:id="40"/>
      <w:bookmarkEnd w:id="41"/>
    </w:p>
    <w:p w14:paraId="09B8C088">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1、供货方式：该项目的货物供货事宜，由供货商负责直接供货。</w:t>
      </w:r>
    </w:p>
    <w:p w14:paraId="56BEA663">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2、乙方工作:负责组织供货的实施并承担供货后果、售后服务。按照合同产品的要求，并向甲方提供正式的供货销售发票。    </w:t>
      </w:r>
    </w:p>
    <w:p w14:paraId="70FF20AA">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3、甲方工作：负责协助乙方进行产品验收。    </w:t>
      </w:r>
    </w:p>
    <w:p w14:paraId="12F2EED1">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bookmarkStart w:id="42" w:name="_Toc16183"/>
      <w:bookmarkStart w:id="43" w:name="_Toc27403"/>
      <w:r>
        <w:rPr>
          <w:rFonts w:hint="eastAsia" w:ascii="宋体" w:hAnsi="宋体" w:eastAsia="宋体" w:cs="宋体"/>
          <w:color w:val="auto"/>
          <w:sz w:val="24"/>
          <w:szCs w:val="24"/>
          <w:highlight w:val="none"/>
        </w:rPr>
        <w:t>七、验收及货款支付方式</w:t>
      </w:r>
      <w:bookmarkEnd w:id="42"/>
      <w:bookmarkEnd w:id="4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bookmarkStart w:id="44" w:name="_Toc22377"/>
      <w:bookmarkStart w:id="45" w:name="_Toc3750"/>
      <w:r>
        <w:rPr>
          <w:rFonts w:hint="eastAsia" w:ascii="宋体" w:hAnsi="宋体" w:eastAsia="宋体" w:cs="宋体"/>
          <w:color w:val="auto"/>
          <w:sz w:val="24"/>
          <w:szCs w:val="24"/>
          <w:highlight w:val="none"/>
        </w:rPr>
        <w:t xml:space="preserve">   </w:t>
      </w:r>
    </w:p>
    <w:bookmarkEnd w:id="44"/>
    <w:bookmarkEnd w:id="45"/>
    <w:p w14:paraId="2442CCC7">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bookmarkStart w:id="46" w:name="_Toc14384"/>
      <w:bookmarkStart w:id="47" w:name="_Toc15807"/>
      <w:r>
        <w:rPr>
          <w:rFonts w:hint="eastAsia" w:ascii="宋体" w:hAnsi="宋体" w:eastAsia="宋体" w:cs="宋体"/>
          <w:color w:val="auto"/>
          <w:sz w:val="24"/>
          <w:szCs w:val="24"/>
          <w:highlight w:val="none"/>
        </w:rPr>
        <w:t>八、违约责任：</w:t>
      </w:r>
      <w:bookmarkEnd w:id="46"/>
      <w:bookmarkEnd w:id="47"/>
    </w:p>
    <w:p w14:paraId="15524B44">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1、乙方所交付的货物品种、型号、规格不符合合同规定的，甲方有权拒收。</w:t>
      </w:r>
    </w:p>
    <w:p w14:paraId="64DC1C37">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2.、若甲方未按约定时间支付乙方设备款，甲方除支付乙方设备款外还需按每延迟一日支付未付款额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的违约金，但累计总额不超过欠款总额的</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76C05C8">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3、乙方逾期交付货物的，每逾期一天，乙方向甲方支付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滞纳金，但累计总额不超过合同总额的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292E6C">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4、乙方未按本合同的规定提供伴随服务、售后服务的，给甲方造成损失的，乙方应承担赔偿责任。</w:t>
      </w:r>
    </w:p>
    <w:p w14:paraId="7F4BBFF1">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5、如出现违约责任，双方协商解决或按《</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》执行。</w:t>
      </w:r>
    </w:p>
    <w:p w14:paraId="1264A506">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bookmarkStart w:id="48" w:name="_Toc22257"/>
      <w:bookmarkStart w:id="49" w:name="_Toc22445"/>
      <w:r>
        <w:rPr>
          <w:rFonts w:hint="eastAsia" w:ascii="宋体" w:hAnsi="宋体" w:eastAsia="宋体" w:cs="宋体"/>
          <w:color w:val="auto"/>
          <w:sz w:val="24"/>
          <w:szCs w:val="24"/>
          <w:highlight w:val="none"/>
        </w:rPr>
        <w:t>十、质保期</w:t>
      </w:r>
    </w:p>
    <w:p w14:paraId="56C8AF26">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1、本合同约定保修期限从工程竣工验收合格之日起计算。</w:t>
      </w:r>
    </w:p>
    <w:p w14:paraId="74DE08EA">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2、如在质保期内发生质量问题，乙方须在接到甲方通知后在2小时内到达现场。</w:t>
      </w:r>
    </w:p>
    <w:p w14:paraId="03EF31CF">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3、质保期内，乙方每个月回访甲方一次，解决甲方提出的问题（如有），并提供必要的质保服务和指导。</w:t>
      </w:r>
    </w:p>
    <w:p w14:paraId="1EF26C1D">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4、在质保期内，乙方应对出现的质量及安全问题负责处理解决并承担一切费用。</w:t>
      </w:r>
    </w:p>
    <w:p w14:paraId="6CB3224D">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5、乙方的质保和服务范围按照按国家及行业标准执行。</w:t>
      </w:r>
    </w:p>
    <w:p w14:paraId="7CCCF064">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 解决合同纠纷的方式</w:t>
      </w:r>
      <w:bookmarkEnd w:id="48"/>
      <w:bookmarkEnd w:id="49"/>
      <w:r>
        <w:rPr>
          <w:rFonts w:hint="eastAsia" w:ascii="宋体" w:hAnsi="宋体" w:eastAsia="宋体" w:cs="宋体"/>
          <w:color w:val="auto"/>
          <w:sz w:val="24"/>
          <w:szCs w:val="24"/>
          <w:highlight w:val="none"/>
        </w:rPr>
        <w:t xml:space="preserve"> </w:t>
      </w:r>
    </w:p>
    <w:p w14:paraId="3D22F1BA">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履行本合同所发生的一切争议，双方应及时协商解决。如经协商未能达成协议，任何一方均有权向甲方所在地人民法院提起诉讼。</w:t>
      </w:r>
    </w:p>
    <w:p w14:paraId="7A331962">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bookmarkStart w:id="50" w:name="_Toc22020"/>
      <w:bookmarkStart w:id="51" w:name="_Toc24387"/>
      <w:r>
        <w:rPr>
          <w:rFonts w:hint="eastAsia" w:ascii="宋体" w:hAnsi="宋体" w:eastAsia="宋体" w:cs="宋体"/>
          <w:color w:val="auto"/>
          <w:sz w:val="24"/>
          <w:szCs w:val="24"/>
          <w:highlight w:val="none"/>
        </w:rPr>
        <w:t>十二、未尽事宜的处理</w:t>
      </w:r>
      <w:bookmarkEnd w:id="50"/>
      <w:bookmarkEnd w:id="51"/>
    </w:p>
    <w:p w14:paraId="5A1F9B49">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合同如有未尽事宜，按照法律、法规的规定执行。法律、法规未作规定的，须经双方共同协商达成书面补充协议或条款，作为本合同的附件， 其与本合同具有同等法律效力。</w:t>
      </w:r>
    </w:p>
    <w:p w14:paraId="722CF2E2">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bookmarkStart w:id="52" w:name="_Toc7630"/>
      <w:bookmarkStart w:id="53" w:name="_Toc13434"/>
      <w:r>
        <w:rPr>
          <w:rFonts w:hint="eastAsia" w:ascii="宋体" w:hAnsi="宋体" w:eastAsia="宋体" w:cs="宋体"/>
          <w:color w:val="auto"/>
          <w:sz w:val="24"/>
          <w:szCs w:val="24"/>
          <w:highlight w:val="none"/>
        </w:rPr>
        <w:t>十三、本合同一式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份，具有同等法律效力。</w:t>
      </w:r>
      <w:bookmarkEnd w:id="52"/>
      <w:bookmarkEnd w:id="53"/>
    </w:p>
    <w:p w14:paraId="6216D64D">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bookmarkStart w:id="54" w:name="_Toc22142"/>
      <w:bookmarkStart w:id="55" w:name="_Toc18545"/>
      <w:r>
        <w:rPr>
          <w:rFonts w:hint="eastAsia" w:ascii="宋体" w:hAnsi="宋体" w:eastAsia="宋体" w:cs="宋体"/>
          <w:color w:val="auto"/>
          <w:sz w:val="24"/>
          <w:szCs w:val="24"/>
          <w:highlight w:val="none"/>
        </w:rPr>
        <w:t>十四、合同的生效和失效</w:t>
      </w:r>
      <w:bookmarkEnd w:id="54"/>
      <w:bookmarkEnd w:id="55"/>
    </w:p>
    <w:p w14:paraId="0E81BDD1">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本合同经甲乙双方授权代表签字并加盖单位公章之日起生效，自合同履行完毕自行失效</w:t>
      </w:r>
    </w:p>
    <w:p w14:paraId="211FED8A">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7AE80B9">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甲方单位（盖章）：                       乙方单位（盖章）：</w:t>
      </w:r>
    </w:p>
    <w:p w14:paraId="1BE11DC7">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甲方代表签字：                           乙方代表签字：</w:t>
      </w:r>
    </w:p>
    <w:p w14:paraId="2E9D8C04">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23BEAE3C">
      <w:pPr>
        <w:pStyle w:val="48"/>
        <w:keepNext w:val="0"/>
        <w:keepLines w:val="0"/>
        <w:pageBreakBefore w:val="0"/>
        <w:widowControl/>
        <w:shd w:val="clea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                     日期：   年   月  日</w:t>
      </w:r>
    </w:p>
    <w:p w14:paraId="259CB6E2">
      <w:pPr>
        <w:shd w:val="clear"/>
        <w:adjustRightInd w:val="0"/>
        <w:spacing w:line="360" w:lineRule="auto"/>
        <w:ind w:firstLine="480" w:firstLineChars="200"/>
        <w:textAlignment w:val="baseline"/>
        <w:rPr>
          <w:rFonts w:hint="eastAsia" w:ascii="黑体" w:hAnsi="黑体" w:eastAsia="黑体" w:cs="黑体"/>
          <w:color w:val="auto"/>
          <w:sz w:val="24"/>
          <w:highlight w:val="none"/>
        </w:rPr>
      </w:pPr>
    </w:p>
    <w:p w14:paraId="552BE05B">
      <w:pPr>
        <w:shd w:val="clear"/>
        <w:adjustRightInd w:val="0"/>
        <w:spacing w:line="360" w:lineRule="auto"/>
        <w:ind w:firstLine="480" w:firstLineChars="200"/>
        <w:textAlignment w:val="baseline"/>
        <w:rPr>
          <w:rFonts w:hint="eastAsia" w:ascii="黑体" w:hAnsi="黑体" w:eastAsia="黑体" w:cs="黑体"/>
          <w:color w:val="auto"/>
          <w:sz w:val="24"/>
          <w:highlight w:val="none"/>
        </w:rPr>
      </w:pPr>
    </w:p>
    <w:p w14:paraId="57BED845">
      <w:pPr>
        <w:shd w:val="clear"/>
        <w:adjustRightInd w:val="0"/>
        <w:spacing w:line="360" w:lineRule="auto"/>
        <w:ind w:firstLine="480" w:firstLineChars="200"/>
        <w:textAlignment w:val="baseline"/>
        <w:rPr>
          <w:rFonts w:hint="eastAsia" w:ascii="宋体" w:hAnsi="宋体" w:cs="宋体"/>
          <w:color w:val="auto"/>
          <w:sz w:val="24"/>
          <w:highlight w:val="none"/>
        </w:rPr>
      </w:pPr>
      <w:r>
        <w:rPr>
          <w:rFonts w:hint="eastAsia" w:ascii="黑体" w:hAnsi="黑体" w:eastAsia="黑体" w:cs="黑体"/>
          <w:color w:val="auto"/>
          <w:sz w:val="24"/>
          <w:highlight w:val="none"/>
        </w:rPr>
        <w:t>重要提示：</w:t>
      </w:r>
      <w:r>
        <w:rPr>
          <w:rFonts w:hint="eastAsia" w:ascii="宋体" w:hAnsi="宋体" w:cs="宋体"/>
          <w:color w:val="auto"/>
          <w:sz w:val="24"/>
          <w:highlight w:val="none"/>
        </w:rPr>
        <w:t>以上合同文本作为签订合同的重要依据，涉及付款方式、供应商名称等实质性内容不得变更。其他部分按照竞争性谈判文件及采购资料增减确定。</w:t>
      </w:r>
    </w:p>
    <w:p w14:paraId="7B1F5430">
      <w:pPr>
        <w:shd w:val="clear"/>
        <w:rPr>
          <w:rFonts w:hint="eastAsia"/>
          <w:color w:val="auto"/>
          <w:kern w:val="0"/>
          <w:sz w:val="28"/>
          <w:szCs w:val="28"/>
          <w:highlight w:val="none"/>
        </w:rPr>
      </w:pPr>
      <w:bookmarkStart w:id="56" w:name="_Toc27415"/>
      <w:r>
        <w:rPr>
          <w:rFonts w:hint="eastAsia"/>
          <w:color w:val="auto"/>
          <w:kern w:val="0"/>
          <w:sz w:val="28"/>
          <w:szCs w:val="28"/>
          <w:highlight w:val="none"/>
        </w:rPr>
        <w:br w:type="page"/>
      </w:r>
    </w:p>
    <w:p w14:paraId="4F7BA7B5">
      <w:pPr>
        <w:pStyle w:val="2"/>
        <w:shd w:val="clear"/>
        <w:spacing w:before="0" w:after="0" w:line="360" w:lineRule="auto"/>
        <w:jc w:val="center"/>
        <w:rPr>
          <w:color w:val="auto"/>
          <w:kern w:val="0"/>
          <w:sz w:val="28"/>
          <w:szCs w:val="28"/>
          <w:highlight w:val="none"/>
        </w:rPr>
      </w:pPr>
      <w:r>
        <w:rPr>
          <w:rFonts w:hint="eastAsia"/>
          <w:color w:val="auto"/>
          <w:kern w:val="0"/>
          <w:sz w:val="28"/>
          <w:szCs w:val="28"/>
          <w:highlight w:val="none"/>
        </w:rPr>
        <w:t>第七部分 履约验收</w:t>
      </w:r>
      <w:bookmarkEnd w:id="56"/>
    </w:p>
    <w:p w14:paraId="55DDA005">
      <w:pPr>
        <w:pStyle w:val="27"/>
        <w:shd w:val="clear"/>
        <w:rPr>
          <w:color w:val="auto"/>
          <w:highlight w:val="none"/>
        </w:rPr>
      </w:pPr>
    </w:p>
    <w:p w14:paraId="3250D4C8">
      <w:pPr>
        <w:pStyle w:val="26"/>
        <w:shd w:val="clear"/>
        <w:spacing w:after="0" w:line="360" w:lineRule="auto"/>
        <w:ind w:firstLine="480" w:firstLineChars="200"/>
        <w:rPr>
          <w:color w:val="auto"/>
          <w:sz w:val="24"/>
          <w:highlight w:val="none"/>
        </w:rPr>
      </w:pPr>
      <w:r>
        <w:rPr>
          <w:rFonts w:hint="eastAsia"/>
          <w:color w:val="auto"/>
          <w:sz w:val="24"/>
          <w:highlight w:val="none"/>
        </w:rPr>
        <w:t>供应商履约完成后，向采购人提出验收建议，采购人自收到验收建议之日起五个工作日内，采购人组织供应商参与，共同完成验收</w:t>
      </w:r>
      <w:r>
        <w:rPr>
          <w:rFonts w:hint="eastAsia" w:ascii="宋体" w:hAnsi="宋体" w:cs="宋体"/>
          <w:color w:val="auto"/>
          <w:sz w:val="24"/>
          <w:highlight w:val="none"/>
        </w:rPr>
        <w:t>（通过县级验收后，由第三方质量检测机构验收）。</w:t>
      </w:r>
      <w:r>
        <w:rPr>
          <w:rFonts w:hint="eastAsia"/>
          <w:color w:val="auto"/>
          <w:sz w:val="24"/>
          <w:highlight w:val="none"/>
        </w:rPr>
        <w:t>技术复杂、专业性强等项目可适当延长验收时间。验收流程如下：</w:t>
      </w:r>
    </w:p>
    <w:p w14:paraId="61FFC4E3">
      <w:pPr>
        <w:pStyle w:val="26"/>
        <w:numPr>
          <w:ilvl w:val="0"/>
          <w:numId w:val="4"/>
        </w:numPr>
        <w:shd w:val="clear"/>
        <w:spacing w:after="0" w:line="360" w:lineRule="auto"/>
        <w:ind w:firstLine="480" w:firstLineChars="200"/>
        <w:rPr>
          <w:color w:val="auto"/>
          <w:sz w:val="24"/>
          <w:highlight w:val="none"/>
        </w:rPr>
      </w:pPr>
      <w:r>
        <w:rPr>
          <w:rFonts w:hint="eastAsia"/>
          <w:color w:val="auto"/>
          <w:sz w:val="24"/>
          <w:highlight w:val="none"/>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2C311634">
      <w:pPr>
        <w:pStyle w:val="26"/>
        <w:numPr>
          <w:ilvl w:val="0"/>
          <w:numId w:val="4"/>
        </w:numPr>
        <w:shd w:val="clear"/>
        <w:spacing w:after="0" w:line="360" w:lineRule="auto"/>
        <w:ind w:firstLine="480" w:firstLineChars="200"/>
        <w:rPr>
          <w:color w:val="auto"/>
          <w:sz w:val="24"/>
          <w:highlight w:val="none"/>
        </w:rPr>
      </w:pPr>
      <w:r>
        <w:rPr>
          <w:rFonts w:hint="eastAsia"/>
          <w:color w:val="auto"/>
          <w:sz w:val="24"/>
          <w:highlight w:val="none"/>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722D8548">
      <w:pPr>
        <w:pStyle w:val="26"/>
        <w:numPr>
          <w:ilvl w:val="0"/>
          <w:numId w:val="4"/>
        </w:numPr>
        <w:shd w:val="clear"/>
        <w:spacing w:after="0" w:line="360" w:lineRule="auto"/>
        <w:ind w:firstLine="480" w:firstLineChars="200"/>
        <w:rPr>
          <w:color w:val="auto"/>
          <w:sz w:val="24"/>
          <w:highlight w:val="none"/>
        </w:rPr>
      </w:pPr>
      <w:r>
        <w:rPr>
          <w:rFonts w:hint="eastAsia"/>
          <w:color w:val="auto"/>
          <w:sz w:val="24"/>
          <w:highlight w:val="none"/>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575F046E">
      <w:pPr>
        <w:pStyle w:val="26"/>
        <w:numPr>
          <w:ilvl w:val="0"/>
          <w:numId w:val="4"/>
        </w:numPr>
        <w:shd w:val="clear"/>
        <w:spacing w:after="0" w:line="360" w:lineRule="auto"/>
        <w:ind w:firstLine="480" w:firstLineChars="200"/>
        <w:rPr>
          <w:color w:val="auto"/>
          <w:sz w:val="24"/>
          <w:highlight w:val="none"/>
        </w:rPr>
      </w:pPr>
      <w:r>
        <w:rPr>
          <w:rFonts w:hint="eastAsia"/>
          <w:color w:val="auto"/>
          <w:sz w:val="24"/>
          <w:highlight w:val="none"/>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委会情形，采购人应及时报财政部门。</w:t>
      </w:r>
    </w:p>
    <w:p w14:paraId="7339D1BD">
      <w:pPr>
        <w:pStyle w:val="2"/>
        <w:shd w:val="clear"/>
        <w:spacing w:before="0" w:after="0" w:line="360" w:lineRule="auto"/>
        <w:ind w:firstLine="482" w:firstLineChars="200"/>
        <w:jc w:val="center"/>
        <w:rPr>
          <w:rFonts w:hint="eastAsia" w:ascii="宋体" w:hAnsi="宋体" w:cs="宋体"/>
          <w:color w:val="auto"/>
          <w:kern w:val="0"/>
          <w:sz w:val="24"/>
          <w:highlight w:val="none"/>
        </w:rPr>
      </w:pPr>
      <w:r>
        <w:rPr>
          <w:rFonts w:ascii="宋体" w:hAnsi="宋体" w:cs="宋体"/>
          <w:color w:val="auto"/>
          <w:kern w:val="0"/>
          <w:sz w:val="24"/>
          <w:highlight w:val="none"/>
        </w:rPr>
        <w:br w:type="page"/>
      </w:r>
    </w:p>
    <w:p w14:paraId="0C304170">
      <w:pPr>
        <w:pStyle w:val="2"/>
        <w:shd w:val="clear"/>
        <w:spacing w:before="0" w:after="0" w:line="360" w:lineRule="auto"/>
        <w:jc w:val="center"/>
        <w:rPr>
          <w:color w:val="auto"/>
          <w:kern w:val="0"/>
          <w:sz w:val="36"/>
          <w:szCs w:val="36"/>
          <w:highlight w:val="none"/>
        </w:rPr>
      </w:pPr>
      <w:bookmarkStart w:id="57" w:name="_Toc30461"/>
      <w:r>
        <w:rPr>
          <w:rFonts w:hint="eastAsia"/>
          <w:color w:val="auto"/>
          <w:kern w:val="0"/>
          <w:sz w:val="36"/>
          <w:szCs w:val="36"/>
          <w:highlight w:val="none"/>
        </w:rPr>
        <w:t>第八部分  附件—供应商响应文件格式</w:t>
      </w:r>
      <w:bookmarkEnd w:id="57"/>
    </w:p>
    <w:p w14:paraId="324B303E">
      <w:pPr>
        <w:widowControl/>
        <w:shd w:val="clear"/>
        <w:snapToGrid w:val="0"/>
        <w:spacing w:line="360" w:lineRule="auto"/>
        <w:jc w:val="right"/>
        <w:rPr>
          <w:color w:val="auto"/>
          <w:kern w:val="0"/>
          <w:sz w:val="24"/>
          <w:highlight w:val="none"/>
        </w:rPr>
      </w:pPr>
    </w:p>
    <w:p w14:paraId="130777DB">
      <w:pPr>
        <w:pStyle w:val="26"/>
        <w:shd w:val="clear"/>
        <w:rPr>
          <w:color w:val="auto"/>
          <w:highlight w:val="none"/>
        </w:rPr>
      </w:pPr>
    </w:p>
    <w:p w14:paraId="09868A1A">
      <w:pPr>
        <w:shd w:val="clear"/>
        <w:adjustRightInd w:val="0"/>
        <w:snapToGrid w:val="0"/>
        <w:spacing w:line="360" w:lineRule="auto"/>
        <w:jc w:val="center"/>
        <w:rPr>
          <w:rFonts w:hint="eastAsia" w:ascii="宋体" w:hAnsi="宋体"/>
          <w:color w:val="auto"/>
          <w:sz w:val="32"/>
          <w:szCs w:val="32"/>
          <w:highlight w:val="none"/>
          <w:u w:val="single"/>
        </w:rPr>
      </w:pPr>
    </w:p>
    <w:p w14:paraId="096CB72E">
      <w:pPr>
        <w:shd w:val="clear"/>
        <w:adjustRightInd w:val="0"/>
        <w:snapToGrid w:val="0"/>
        <w:spacing w:line="360" w:lineRule="auto"/>
        <w:jc w:val="center"/>
        <w:rPr>
          <w:rFonts w:hint="eastAsia" w:ascii="宋体" w:hAnsi="宋体"/>
          <w:b/>
          <w:bCs/>
          <w:color w:val="auto"/>
          <w:sz w:val="32"/>
          <w:szCs w:val="32"/>
          <w:highlight w:val="none"/>
        </w:rPr>
      </w:pP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（项目名称 </w:t>
      </w:r>
      <w:r>
        <w:rPr>
          <w:rFonts w:ascii="宋体" w:hAnsi="宋体"/>
          <w:color w:val="auto"/>
          <w:sz w:val="32"/>
          <w:szCs w:val="32"/>
          <w:highlight w:val="none"/>
          <w:u w:val="single"/>
        </w:rPr>
        <w:t>）</w:t>
      </w:r>
      <w:r>
        <w:rPr>
          <w:rFonts w:hint="eastAsia" w:ascii="宋体" w:hAnsi="宋体"/>
          <w:color w:val="auto"/>
          <w:sz w:val="32"/>
          <w:szCs w:val="32"/>
          <w:highlight w:val="none"/>
          <w:u w:val="single"/>
          <w:lang w:val="en-US" w:eastAsia="zh-CN"/>
        </w:rPr>
        <w:t>项目</w:t>
      </w:r>
    </w:p>
    <w:p w14:paraId="2ABC07E0">
      <w:pPr>
        <w:shd w:val="clear"/>
        <w:spacing w:line="360" w:lineRule="auto"/>
        <w:jc w:val="center"/>
        <w:rPr>
          <w:rFonts w:hint="eastAsia" w:ascii="宋体" w:hAnsi="宋体"/>
          <w:b/>
          <w:color w:val="auto"/>
          <w:sz w:val="96"/>
          <w:szCs w:val="90"/>
          <w:highlight w:val="none"/>
        </w:rPr>
      </w:pPr>
    </w:p>
    <w:p w14:paraId="0A86DDA4">
      <w:pPr>
        <w:shd w:val="clear"/>
        <w:spacing w:line="360" w:lineRule="auto"/>
        <w:jc w:val="center"/>
        <w:rPr>
          <w:rFonts w:hint="eastAsia" w:ascii="宋体" w:hAnsi="宋体"/>
          <w:b/>
          <w:color w:val="auto"/>
          <w:sz w:val="96"/>
          <w:szCs w:val="90"/>
          <w:highlight w:val="none"/>
        </w:rPr>
      </w:pPr>
      <w:r>
        <w:rPr>
          <w:rFonts w:hint="eastAsia" w:ascii="宋体" w:hAnsi="宋体"/>
          <w:b/>
          <w:color w:val="auto"/>
          <w:sz w:val="96"/>
          <w:szCs w:val="90"/>
          <w:highlight w:val="none"/>
        </w:rPr>
        <w:t>响应文件</w:t>
      </w:r>
    </w:p>
    <w:p w14:paraId="72F19812">
      <w:pPr>
        <w:shd w:val="clear"/>
        <w:spacing w:line="360" w:lineRule="auto"/>
        <w:jc w:val="center"/>
        <w:rPr>
          <w:rFonts w:hint="eastAsia" w:ascii="宋体" w:hAnsi="宋体"/>
          <w:color w:val="auto"/>
          <w:highlight w:val="none"/>
        </w:rPr>
      </w:pPr>
      <w:r>
        <w:rPr>
          <w:rFonts w:hint="eastAsia" w:ascii="宋体" w:hAnsi="宋体"/>
          <w:color w:val="auto"/>
          <w:highlight w:val="none"/>
        </w:rPr>
        <w:t>（封面格式）</w:t>
      </w:r>
    </w:p>
    <w:p w14:paraId="3963CCEC">
      <w:pPr>
        <w:shd w:val="clear"/>
        <w:spacing w:line="360" w:lineRule="auto"/>
        <w:rPr>
          <w:rFonts w:hint="eastAsia" w:ascii="宋体" w:hAnsi="宋体"/>
          <w:color w:val="auto"/>
          <w:sz w:val="30"/>
          <w:szCs w:val="30"/>
          <w:highlight w:val="none"/>
        </w:rPr>
      </w:pPr>
    </w:p>
    <w:p w14:paraId="44B9403E">
      <w:pPr>
        <w:shd w:val="clear"/>
        <w:spacing w:line="360" w:lineRule="auto"/>
        <w:rPr>
          <w:rFonts w:hint="eastAsia" w:ascii="宋体" w:hAnsi="宋体"/>
          <w:color w:val="auto"/>
          <w:sz w:val="30"/>
          <w:szCs w:val="30"/>
          <w:highlight w:val="none"/>
        </w:rPr>
      </w:pPr>
    </w:p>
    <w:p w14:paraId="11E26172">
      <w:pPr>
        <w:shd w:val="clear"/>
        <w:spacing w:line="360" w:lineRule="auto"/>
        <w:rPr>
          <w:rFonts w:hint="eastAsia" w:ascii="宋体" w:hAnsi="宋体"/>
          <w:color w:val="auto"/>
          <w:sz w:val="30"/>
          <w:szCs w:val="30"/>
          <w:highlight w:val="none"/>
        </w:rPr>
      </w:pPr>
    </w:p>
    <w:p w14:paraId="34C0FA80">
      <w:pPr>
        <w:shd w:val="clear"/>
        <w:spacing w:line="360" w:lineRule="auto"/>
        <w:rPr>
          <w:rFonts w:hint="eastAsia" w:ascii="宋体" w:hAnsi="宋体"/>
          <w:color w:val="auto"/>
          <w:sz w:val="30"/>
          <w:szCs w:val="30"/>
          <w:highlight w:val="none"/>
        </w:rPr>
      </w:pPr>
    </w:p>
    <w:p w14:paraId="6A56E128">
      <w:pPr>
        <w:shd w:val="clear"/>
        <w:spacing w:line="360" w:lineRule="auto"/>
        <w:rPr>
          <w:rFonts w:hint="eastAsia" w:ascii="宋体" w:hAnsi="宋体"/>
          <w:color w:val="auto"/>
          <w:sz w:val="30"/>
          <w:szCs w:val="30"/>
          <w:highlight w:val="none"/>
        </w:rPr>
      </w:pPr>
    </w:p>
    <w:p w14:paraId="2208A183">
      <w:pPr>
        <w:shd w:val="clear"/>
        <w:spacing w:line="360" w:lineRule="auto"/>
        <w:rPr>
          <w:rFonts w:hint="eastAsia" w:ascii="宋体" w:hAnsi="宋体"/>
          <w:color w:val="auto"/>
          <w:sz w:val="30"/>
          <w:szCs w:val="30"/>
          <w:highlight w:val="none"/>
        </w:rPr>
      </w:pPr>
    </w:p>
    <w:p w14:paraId="4028DA3C">
      <w:pPr>
        <w:shd w:val="clear"/>
        <w:spacing w:line="360" w:lineRule="auto"/>
        <w:ind w:firstLine="1059" w:firstLineChars="353"/>
        <w:rPr>
          <w:rFonts w:hint="eastAsia" w:ascii="宋体" w:hAnsi="宋体"/>
          <w:color w:val="auto"/>
          <w:sz w:val="30"/>
          <w:szCs w:val="30"/>
          <w:highlight w:val="none"/>
          <w:u w:val="single"/>
        </w:rPr>
      </w:pPr>
      <w:r>
        <w:rPr>
          <w:rFonts w:hint="eastAsia" w:ascii="宋体" w:hAnsi="宋体"/>
          <w:color w:val="auto"/>
          <w:sz w:val="30"/>
          <w:szCs w:val="30"/>
          <w:highlight w:val="none"/>
        </w:rPr>
        <w:t>供 应 商：</w:t>
      </w:r>
      <w:r>
        <w:rPr>
          <w:rFonts w:hint="eastAsia" w:ascii="宋体" w:hAnsi="宋体"/>
          <w:color w:val="auto"/>
          <w:sz w:val="30"/>
          <w:szCs w:val="30"/>
          <w:highlight w:val="none"/>
          <w:u w:val="single"/>
        </w:rPr>
        <w:t xml:space="preserve">                                  </w:t>
      </w:r>
    </w:p>
    <w:p w14:paraId="7A48F9BF">
      <w:pPr>
        <w:shd w:val="clear"/>
        <w:spacing w:line="360" w:lineRule="auto"/>
        <w:ind w:firstLine="1059" w:firstLineChars="353"/>
        <w:rPr>
          <w:rFonts w:hint="eastAsia" w:ascii="宋体" w:hAnsi="宋体"/>
          <w:color w:val="auto"/>
          <w:sz w:val="30"/>
          <w:szCs w:val="30"/>
          <w:highlight w:val="none"/>
        </w:rPr>
      </w:pPr>
      <w:r>
        <w:rPr>
          <w:rFonts w:hint="eastAsia" w:ascii="宋体" w:hAnsi="宋体"/>
          <w:color w:val="auto"/>
          <w:sz w:val="30"/>
          <w:szCs w:val="30"/>
          <w:highlight w:val="none"/>
        </w:rPr>
        <w:t>法定代表人（授权委托人）：</w:t>
      </w:r>
      <w:r>
        <w:rPr>
          <w:rFonts w:hint="eastAsia" w:ascii="宋体" w:hAnsi="宋体"/>
          <w:color w:val="auto"/>
          <w:sz w:val="30"/>
          <w:szCs w:val="30"/>
          <w:highlight w:val="none"/>
          <w:u w:val="single"/>
        </w:rPr>
        <w:t xml:space="preserve">    （签字或盖章）</w:t>
      </w:r>
      <w:r>
        <w:rPr>
          <w:rFonts w:hint="eastAsia" w:ascii="宋体" w:hAnsi="宋体"/>
          <w:color w:val="auto"/>
          <w:sz w:val="30"/>
          <w:szCs w:val="30"/>
          <w:highlight w:val="none"/>
        </w:rPr>
        <w:t xml:space="preserve"> </w:t>
      </w:r>
    </w:p>
    <w:p w14:paraId="5CA21F4D">
      <w:pPr>
        <w:shd w:val="clear"/>
        <w:spacing w:line="360" w:lineRule="auto"/>
        <w:ind w:firstLine="1059" w:firstLineChars="353"/>
        <w:rPr>
          <w:rFonts w:hint="eastAsia" w:ascii="宋体" w:hAnsi="宋体"/>
          <w:color w:val="auto"/>
          <w:highlight w:val="none"/>
        </w:rPr>
      </w:pPr>
      <w:r>
        <w:rPr>
          <w:rFonts w:hint="eastAsia" w:ascii="宋体" w:hAnsi="宋体"/>
          <w:color w:val="auto"/>
          <w:sz w:val="30"/>
          <w:szCs w:val="30"/>
          <w:highlight w:val="none"/>
        </w:rPr>
        <w:t>日      期：      年   月   日</w:t>
      </w:r>
    </w:p>
    <w:p w14:paraId="5297C42F">
      <w:pPr>
        <w:widowControl/>
        <w:shd w:val="clear"/>
        <w:spacing w:line="360" w:lineRule="auto"/>
        <w:jc w:val="left"/>
        <w:rPr>
          <w:rFonts w:hint="eastAsia" w:ascii="宋体" w:hAnsi="宋体"/>
          <w:b/>
          <w:bCs/>
          <w:color w:val="auto"/>
          <w:kern w:val="0"/>
          <w:sz w:val="36"/>
          <w:szCs w:val="36"/>
          <w:highlight w:val="none"/>
        </w:rPr>
      </w:pPr>
      <w:r>
        <w:rPr>
          <w:rFonts w:ascii="宋体" w:hAnsi="宋体"/>
          <w:b/>
          <w:bCs/>
          <w:color w:val="auto"/>
          <w:kern w:val="0"/>
          <w:sz w:val="36"/>
          <w:szCs w:val="36"/>
          <w:highlight w:val="none"/>
        </w:rPr>
        <w:br w:type="page"/>
      </w:r>
    </w:p>
    <w:p w14:paraId="234E188A">
      <w:pPr>
        <w:shd w:val="clear"/>
        <w:spacing w:line="360" w:lineRule="auto"/>
        <w:ind w:right="-92" w:rightChars="-44"/>
        <w:jc w:val="center"/>
        <w:rPr>
          <w:rFonts w:hint="eastAsia" w:ascii="宋体" w:hAnsi="宋体"/>
          <w:color w:val="auto"/>
          <w:kern w:val="0"/>
          <w:sz w:val="44"/>
          <w:szCs w:val="44"/>
          <w:highlight w:val="none"/>
        </w:rPr>
      </w:pPr>
      <w:r>
        <w:rPr>
          <w:rFonts w:hint="eastAsia" w:ascii="宋体" w:hAnsi="宋体"/>
          <w:b/>
          <w:bCs/>
          <w:color w:val="auto"/>
          <w:kern w:val="0"/>
          <w:sz w:val="44"/>
          <w:szCs w:val="44"/>
          <w:highlight w:val="none"/>
        </w:rPr>
        <w:t>目  录</w:t>
      </w:r>
    </w:p>
    <w:p w14:paraId="06103B55">
      <w:pPr>
        <w:widowControl/>
        <w:shd w:val="clear"/>
        <w:spacing w:line="36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（格式自拟）</w:t>
      </w:r>
    </w:p>
    <w:p w14:paraId="37C0CD26">
      <w:pPr>
        <w:pStyle w:val="3"/>
        <w:shd w:val="clear"/>
        <w:spacing w:before="0" w:after="0" w:line="360" w:lineRule="auto"/>
        <w:rPr>
          <w:rFonts w:hint="eastAsia" w:ascii="宋体" w:hAnsi="宋体" w:cs="宋体"/>
          <w:color w:val="auto"/>
          <w:sz w:val="28"/>
          <w:szCs w:val="28"/>
          <w:highlight w:val="none"/>
        </w:rPr>
      </w:pPr>
      <w:r>
        <w:rPr>
          <w:rFonts w:ascii="宋体" w:hAnsi="宋体"/>
          <w:b w:val="0"/>
          <w:color w:val="auto"/>
          <w:kern w:val="0"/>
          <w:sz w:val="28"/>
          <w:szCs w:val="28"/>
          <w:highlight w:val="none"/>
        </w:rPr>
        <w:br w:type="page"/>
      </w:r>
      <w:bookmarkStart w:id="58" w:name="_Toc23083"/>
      <w:r>
        <w:rPr>
          <w:rFonts w:hint="eastAsia" w:ascii="宋体" w:hAnsi="宋体" w:cs="宋体"/>
          <w:color w:val="auto"/>
          <w:sz w:val="28"/>
          <w:szCs w:val="28"/>
          <w:highlight w:val="none"/>
        </w:rPr>
        <w:t>附件1：</w:t>
      </w:r>
      <w:bookmarkEnd w:id="58"/>
    </w:p>
    <w:p w14:paraId="7A8AF727">
      <w:pPr>
        <w:widowControl/>
        <w:shd w:val="clear"/>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投标函</w:t>
      </w:r>
    </w:p>
    <w:p w14:paraId="403896E4">
      <w:pPr>
        <w:pStyle w:val="3"/>
        <w:shd w:val="clear"/>
        <w:rPr>
          <w:color w:val="auto"/>
          <w:highlight w:val="none"/>
        </w:rPr>
      </w:pPr>
    </w:p>
    <w:p w14:paraId="56018F41">
      <w:pPr>
        <w:widowControl/>
        <w:shd w:val="clear"/>
        <w:spacing w:line="360" w:lineRule="auto"/>
        <w:ind w:firstLine="562" w:firstLineChars="200"/>
        <w:rPr>
          <w:rFonts w:hint="eastAsia" w:ascii="宋体" w:hAnsi="宋体"/>
          <w:b/>
          <w:bCs/>
          <w:color w:val="auto"/>
          <w:kern w:val="0"/>
          <w:sz w:val="28"/>
          <w:szCs w:val="28"/>
          <w:highlight w:val="none"/>
          <w:u w:val="single"/>
        </w:rPr>
      </w:pPr>
      <w:r>
        <w:rPr>
          <w:rFonts w:hint="eastAsia" w:ascii="宋体" w:hAnsi="宋体"/>
          <w:b/>
          <w:bCs/>
          <w:color w:val="auto"/>
          <w:kern w:val="0"/>
          <w:sz w:val="28"/>
          <w:szCs w:val="28"/>
          <w:highlight w:val="none"/>
        </w:rPr>
        <w:t>致：</w:t>
      </w:r>
      <w:r>
        <w:rPr>
          <w:rFonts w:hint="eastAsia" w:ascii="宋体" w:hAnsi="宋体"/>
          <w:b/>
          <w:bCs/>
          <w:color w:val="auto"/>
          <w:kern w:val="0"/>
          <w:sz w:val="28"/>
          <w:szCs w:val="28"/>
          <w:highlight w:val="none"/>
          <w:u w:val="single"/>
        </w:rPr>
        <w:t xml:space="preserve">      （采购人名称）     </w:t>
      </w:r>
    </w:p>
    <w:p w14:paraId="14E19612">
      <w:pPr>
        <w:pStyle w:val="26"/>
        <w:shd w:val="clear"/>
        <w:spacing w:after="0" w:line="360" w:lineRule="auto"/>
        <w:ind w:firstLine="480" w:firstLineChars="200"/>
        <w:rPr>
          <w:color w:val="auto"/>
          <w:highlight w:val="none"/>
        </w:rPr>
      </w:pPr>
      <w:r>
        <w:rPr>
          <w:rFonts w:hint="eastAsia" w:ascii="宋体" w:hAnsi="宋体"/>
          <w:color w:val="auto"/>
          <w:sz w:val="24"/>
          <w:highlight w:val="none"/>
        </w:rPr>
        <w:t>我单位</w:t>
      </w:r>
      <w:r>
        <w:rPr>
          <w:rFonts w:hint="eastAsia" w:ascii="宋体" w:hAnsi="宋体" w:cs="宋体"/>
          <w:color w:val="auto"/>
          <w:sz w:val="24"/>
          <w:highlight w:val="none"/>
        </w:rPr>
        <w:t xml:space="preserve">已收到的 </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lang w:eastAsia="zh-CN"/>
        </w:rPr>
        <w:t>）</w:t>
      </w:r>
      <w:r>
        <w:rPr>
          <w:rFonts w:hint="eastAsia" w:ascii="宋体" w:hAnsi="宋体"/>
          <w:color w:val="auto"/>
          <w:sz w:val="24"/>
          <w:highlight w:val="none"/>
        </w:rPr>
        <w:t>（采购编号：</w:t>
      </w:r>
      <w:r>
        <w:rPr>
          <w:rFonts w:hint="eastAsia" w:ascii="宋体" w:hAnsi="宋体"/>
          <w:color w:val="auto"/>
          <w:sz w:val="24"/>
          <w:highlight w:val="none"/>
          <w:lang w:eastAsia="zh-CN"/>
        </w:rPr>
        <w:t>博政采购（2026）4号</w:t>
      </w:r>
      <w:r>
        <w:rPr>
          <w:rFonts w:hint="eastAsia" w:ascii="宋体" w:hAnsi="宋体"/>
          <w:color w:val="auto"/>
          <w:sz w:val="24"/>
          <w:highlight w:val="none"/>
        </w:rPr>
        <w:t>）</w:t>
      </w:r>
      <w:r>
        <w:rPr>
          <w:rFonts w:hint="eastAsia" w:ascii="宋体" w:hAnsi="宋体" w:cs="宋体"/>
          <w:color w:val="auto"/>
          <w:sz w:val="24"/>
          <w:highlight w:val="none"/>
        </w:rPr>
        <w:t>采购文件及有关纪要通知，现</w:t>
      </w:r>
      <w:r>
        <w:rPr>
          <w:rFonts w:hint="eastAsia" w:ascii="宋体" w:hAnsi="宋体"/>
          <w:color w:val="auto"/>
          <w:sz w:val="24"/>
          <w:highlight w:val="none"/>
        </w:rPr>
        <w:t>对参与投标及成交后工作，做出如下郑重承诺：</w:t>
      </w:r>
    </w:p>
    <w:p w14:paraId="2D46E1C5">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1、我方愿以总价为人民币（大写）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Times New Roman"/>
          <w:i w:val="0"/>
          <w:iCs w:val="0"/>
          <w:color w:val="auto"/>
          <w:kern w:val="0"/>
          <w:sz w:val="24"/>
          <w:szCs w:val="24"/>
          <w:highlight w:val="none"/>
          <w:lang w:val="en-US" w:eastAsia="zh-CN" w:bidi="ar-SA"/>
        </w:rPr>
        <w:t>合同履行期限（供货安装期）</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，按合同约定实施和完成本项目。 </w:t>
      </w:r>
    </w:p>
    <w:p w14:paraId="13500302">
      <w:pPr>
        <w:widowControl/>
        <w:shd w:val="clear"/>
        <w:spacing w:line="360" w:lineRule="auto"/>
        <w:ind w:firstLine="480" w:firstLineChars="200"/>
        <w:rPr>
          <w:rFonts w:hint="eastAsia" w:ascii="宋体" w:hAnsi="宋体" w:cs="宋体"/>
          <w:strike/>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在响应性文件递交截止时间后至确定成交人的</w:t>
      </w:r>
      <w:r>
        <w:rPr>
          <w:color w:val="auto"/>
          <w:highlight w:val="none"/>
        </w:rPr>
        <w:fldChar w:fldCharType="begin"/>
      </w:r>
      <w:r>
        <w:rPr>
          <w:color w:val="auto"/>
          <w:highlight w:val="none"/>
        </w:rPr>
        <w:instrText xml:space="preserve"> HYPERLINK "https://baike.so.com/doc/5394983-5632135.html" \t "https://baike.so.com/doc/_blank" </w:instrText>
      </w:r>
      <w:r>
        <w:rPr>
          <w:color w:val="auto"/>
          <w:highlight w:val="none"/>
        </w:rPr>
        <w:fldChar w:fldCharType="separate"/>
      </w:r>
      <w:r>
        <w:rPr>
          <w:rFonts w:ascii="宋体" w:hAnsi="宋体"/>
          <w:color w:val="auto"/>
          <w:sz w:val="24"/>
          <w:highlight w:val="none"/>
        </w:rPr>
        <w:t>投标有效期</w:t>
      </w:r>
      <w:r>
        <w:rPr>
          <w:rFonts w:ascii="宋体" w:hAnsi="宋体"/>
          <w:color w:val="auto"/>
          <w:sz w:val="24"/>
          <w:highlight w:val="none"/>
        </w:rPr>
        <w:fldChar w:fldCharType="end"/>
      </w:r>
      <w:r>
        <w:rPr>
          <w:rFonts w:ascii="宋体" w:hAnsi="宋体"/>
          <w:color w:val="auto"/>
          <w:sz w:val="24"/>
          <w:highlight w:val="none"/>
        </w:rPr>
        <w:t>内</w:t>
      </w:r>
      <w:r>
        <w:rPr>
          <w:rFonts w:hint="eastAsia" w:ascii="宋体" w:hAnsi="宋体"/>
          <w:color w:val="auto"/>
          <w:sz w:val="24"/>
          <w:highlight w:val="none"/>
        </w:rPr>
        <w:t>，我单位不得要求退出竞标或者修改响应性文件。</w:t>
      </w:r>
    </w:p>
    <w:p w14:paraId="7F901F4A">
      <w:pPr>
        <w:widowControl/>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3、我方明白采购人不一定接纳最低投标报价的采购，也不需要采购人解释选择或否决任何供应商的原因和理由。</w:t>
      </w:r>
    </w:p>
    <w:p w14:paraId="570D6998">
      <w:pPr>
        <w:widowControl/>
        <w:shd w:val="clear"/>
        <w:spacing w:line="360" w:lineRule="auto"/>
        <w:ind w:firstLine="480" w:firstLineChars="200"/>
        <w:rPr>
          <w:rFonts w:hint="eastAsia" w:ascii="宋体" w:hAnsi="宋体"/>
          <w:color w:val="auto"/>
          <w:kern w:val="0"/>
          <w:sz w:val="24"/>
          <w:highlight w:val="none"/>
        </w:rPr>
      </w:pPr>
    </w:p>
    <w:p w14:paraId="3898D50B">
      <w:pPr>
        <w:widowControl/>
        <w:shd w:val="clear"/>
        <w:spacing w:line="360" w:lineRule="auto"/>
        <w:ind w:firstLine="480" w:firstLineChars="200"/>
        <w:rPr>
          <w:rFonts w:hint="eastAsia" w:ascii="宋体" w:hAnsi="宋体"/>
          <w:color w:val="auto"/>
          <w:kern w:val="0"/>
          <w:sz w:val="24"/>
          <w:highlight w:val="none"/>
        </w:rPr>
      </w:pPr>
    </w:p>
    <w:p w14:paraId="5A31E541">
      <w:pPr>
        <w:widowControl/>
        <w:shd w:val="clear"/>
        <w:spacing w:line="360" w:lineRule="auto"/>
        <w:ind w:firstLine="480" w:firstLineChars="200"/>
        <w:rPr>
          <w:rFonts w:hint="eastAsia" w:ascii="宋体" w:hAnsi="宋体"/>
          <w:color w:val="auto"/>
          <w:kern w:val="0"/>
          <w:sz w:val="24"/>
          <w:highlight w:val="none"/>
        </w:rPr>
      </w:pPr>
    </w:p>
    <w:p w14:paraId="4734DBC9">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供应商：（盖章）</w:t>
      </w:r>
    </w:p>
    <w:p w14:paraId="51E07A72">
      <w:pPr>
        <w:widowControl/>
        <w:shd w:val="clea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法定代表人或授权委托代理人：（签字或盖章）</w:t>
      </w:r>
    </w:p>
    <w:p w14:paraId="2BC64BBF">
      <w:pPr>
        <w:widowControl/>
        <w:shd w:val="clear"/>
        <w:spacing w:line="360" w:lineRule="auto"/>
        <w:ind w:firstLine="480" w:firstLineChars="200"/>
        <w:rPr>
          <w:rFonts w:hint="eastAsia" w:ascii="宋体" w:hAnsi="宋体"/>
          <w:b/>
          <w:bCs/>
          <w:color w:val="auto"/>
          <w:kern w:val="0"/>
          <w:sz w:val="32"/>
          <w:szCs w:val="32"/>
          <w:highlight w:val="none"/>
        </w:rPr>
      </w:pPr>
      <w:r>
        <w:rPr>
          <w:rFonts w:hint="eastAsia" w:ascii="宋体" w:hAnsi="宋体"/>
          <w:color w:val="auto"/>
          <w:kern w:val="0"/>
          <w:sz w:val="24"/>
          <w:highlight w:val="none"/>
        </w:rPr>
        <w:t>年      月      日</w:t>
      </w:r>
    </w:p>
    <w:p w14:paraId="71549A2D">
      <w:pPr>
        <w:widowControl/>
        <w:shd w:val="clear"/>
        <w:spacing w:line="360" w:lineRule="auto"/>
        <w:ind w:firstLine="643" w:firstLineChars="200"/>
        <w:jc w:val="center"/>
        <w:rPr>
          <w:rFonts w:hint="eastAsia" w:ascii="宋体" w:hAnsi="宋体"/>
          <w:b/>
          <w:bCs/>
          <w:color w:val="auto"/>
          <w:kern w:val="0"/>
          <w:sz w:val="32"/>
          <w:szCs w:val="32"/>
          <w:highlight w:val="none"/>
        </w:rPr>
      </w:pPr>
    </w:p>
    <w:p w14:paraId="55ABAE9A">
      <w:pPr>
        <w:widowControl/>
        <w:shd w:val="clear"/>
        <w:spacing w:line="360" w:lineRule="auto"/>
        <w:ind w:firstLine="643" w:firstLineChars="200"/>
        <w:jc w:val="center"/>
        <w:rPr>
          <w:rFonts w:hint="eastAsia" w:ascii="宋体" w:hAnsi="宋体"/>
          <w:b/>
          <w:bCs/>
          <w:color w:val="auto"/>
          <w:kern w:val="0"/>
          <w:sz w:val="32"/>
          <w:szCs w:val="32"/>
          <w:highlight w:val="none"/>
        </w:rPr>
      </w:pPr>
    </w:p>
    <w:p w14:paraId="2209634C">
      <w:pPr>
        <w:widowControl/>
        <w:shd w:val="clear"/>
        <w:spacing w:line="360" w:lineRule="auto"/>
        <w:jc w:val="center"/>
        <w:rPr>
          <w:color w:val="auto"/>
          <w:sz w:val="28"/>
          <w:szCs w:val="28"/>
          <w:highlight w:val="none"/>
        </w:rPr>
      </w:pPr>
      <w:r>
        <w:rPr>
          <w:rFonts w:hint="eastAsia" w:ascii="宋体" w:hAnsi="宋体"/>
          <w:b/>
          <w:bCs/>
          <w:color w:val="auto"/>
          <w:kern w:val="0"/>
          <w:sz w:val="28"/>
          <w:szCs w:val="28"/>
          <w:highlight w:val="none"/>
        </w:rPr>
        <w:t>第</w:t>
      </w:r>
      <w:r>
        <w:rPr>
          <w:rFonts w:hint="eastAsia" w:ascii="宋体" w:hAnsi="宋体"/>
          <w:b/>
          <w:bCs/>
          <w:color w:val="auto"/>
          <w:kern w:val="0"/>
          <w:sz w:val="28"/>
          <w:szCs w:val="28"/>
          <w:highlight w:val="none"/>
          <w:u w:val="single"/>
        </w:rPr>
        <w:t xml:space="preserve"> 一 </w:t>
      </w:r>
      <w:r>
        <w:rPr>
          <w:rFonts w:hint="eastAsia" w:ascii="宋体" w:hAnsi="宋体"/>
          <w:b/>
          <w:bCs/>
          <w:color w:val="auto"/>
          <w:kern w:val="0"/>
          <w:sz w:val="28"/>
          <w:szCs w:val="28"/>
          <w:highlight w:val="none"/>
        </w:rPr>
        <w:t>轮报价表</w:t>
      </w:r>
    </w:p>
    <w:p w14:paraId="5D331AF9">
      <w:pPr>
        <w:pStyle w:val="69"/>
        <w:shd w:val="clea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说明：1、供应商单位应将第一轮报价填入下表并按要求签字或盖章，本表要附在响应文件中。</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71"/>
      </w:tblGrid>
      <w:tr w14:paraId="6695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0C9E9D6C">
            <w:pPr>
              <w:shd w:val="clear"/>
              <w:spacing w:line="360" w:lineRule="auto"/>
              <w:jc w:val="center"/>
              <w:rPr>
                <w:rFonts w:hint="default" w:ascii="宋体" w:hAnsi="宋体" w:eastAsia="宋体"/>
                <w:color w:val="auto"/>
                <w:sz w:val="24"/>
                <w:highlight w:val="none"/>
                <w:shd w:val="clear" w:color="auto" w:fill="FFFFFF"/>
                <w:lang w:val="en-US" w:eastAsia="zh-CN"/>
              </w:rPr>
            </w:pPr>
            <w:r>
              <w:rPr>
                <w:rFonts w:hint="eastAsia" w:ascii="宋体" w:hAnsi="宋体"/>
                <w:color w:val="auto"/>
                <w:sz w:val="24"/>
                <w:highlight w:val="none"/>
                <w:shd w:val="clear" w:color="auto" w:fill="FFFFFF"/>
              </w:rPr>
              <w:t>项目名称</w:t>
            </w:r>
          </w:p>
        </w:tc>
        <w:tc>
          <w:tcPr>
            <w:tcW w:w="6471" w:type="dxa"/>
            <w:vAlign w:val="center"/>
          </w:tcPr>
          <w:p w14:paraId="3C09FF58">
            <w:pPr>
              <w:shd w:val="clear"/>
              <w:spacing w:line="360" w:lineRule="auto"/>
              <w:rPr>
                <w:rFonts w:hint="eastAsia" w:ascii="宋体" w:hAnsi="宋体"/>
                <w:color w:val="auto"/>
                <w:sz w:val="24"/>
                <w:highlight w:val="none"/>
                <w:shd w:val="clear" w:color="auto" w:fill="FFFFFF"/>
              </w:rPr>
            </w:pPr>
          </w:p>
        </w:tc>
      </w:tr>
      <w:tr w14:paraId="4CA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2268" w:type="dxa"/>
            <w:vAlign w:val="center"/>
          </w:tcPr>
          <w:p w14:paraId="137E5C21">
            <w:pPr>
              <w:shd w:val="clear"/>
              <w:spacing w:line="360" w:lineRule="auto"/>
              <w:jc w:val="center"/>
              <w:rPr>
                <w:rFonts w:hint="eastAsia" w:ascii="宋体" w:hAnsi="宋体"/>
                <w:color w:val="auto"/>
                <w:sz w:val="24"/>
                <w:highlight w:val="none"/>
                <w:shd w:val="clear" w:color="auto" w:fill="FFFFFF"/>
              </w:rPr>
            </w:pPr>
            <w:r>
              <w:rPr>
                <w:rFonts w:hint="eastAsia" w:ascii="宋体" w:hAnsi="宋体"/>
                <w:color w:val="auto"/>
                <w:sz w:val="24"/>
                <w:highlight w:val="none"/>
              </w:rPr>
              <w:t>供应商</w:t>
            </w:r>
          </w:p>
        </w:tc>
        <w:tc>
          <w:tcPr>
            <w:tcW w:w="6471" w:type="dxa"/>
            <w:vAlign w:val="center"/>
          </w:tcPr>
          <w:p w14:paraId="71A11B47">
            <w:pPr>
              <w:shd w:val="clear"/>
              <w:spacing w:line="360" w:lineRule="auto"/>
              <w:rPr>
                <w:rFonts w:hint="eastAsia" w:ascii="宋体" w:hAnsi="宋体"/>
                <w:color w:val="auto"/>
                <w:sz w:val="24"/>
                <w:highlight w:val="none"/>
                <w:shd w:val="clear" w:color="auto" w:fill="FFFFFF"/>
              </w:rPr>
            </w:pPr>
          </w:p>
        </w:tc>
      </w:tr>
      <w:tr w14:paraId="7DCF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2268" w:type="dxa"/>
            <w:vAlign w:val="center"/>
          </w:tcPr>
          <w:p w14:paraId="40014E0F">
            <w:pPr>
              <w:shd w:val="clear"/>
              <w:spacing w:line="360" w:lineRule="auto"/>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投标报价</w:t>
            </w:r>
          </w:p>
        </w:tc>
        <w:tc>
          <w:tcPr>
            <w:tcW w:w="6471" w:type="dxa"/>
            <w:vAlign w:val="center"/>
          </w:tcPr>
          <w:p w14:paraId="0D1C755C">
            <w:pPr>
              <w:shd w:val="clear"/>
              <w:spacing w:line="360" w:lineRule="auto"/>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（大写）</w:t>
            </w:r>
            <w:r>
              <w:rPr>
                <w:rFonts w:hint="eastAsia" w:ascii="宋体" w:hAnsi="宋体"/>
                <w:color w:val="auto"/>
                <w:sz w:val="24"/>
                <w:highlight w:val="none"/>
                <w:u w:val="single"/>
                <w:shd w:val="clear" w:color="auto" w:fill="FFFFFF"/>
              </w:rPr>
              <w:t xml:space="preserve">                                </w:t>
            </w:r>
          </w:p>
          <w:p w14:paraId="17CF1115">
            <w:pPr>
              <w:shd w:val="clear"/>
              <w:spacing w:line="360" w:lineRule="auto"/>
              <w:rPr>
                <w:rFonts w:hint="eastAsia" w:ascii="宋体" w:hAnsi="宋体"/>
                <w:color w:val="auto"/>
                <w:sz w:val="24"/>
                <w:highlight w:val="none"/>
                <w:u w:val="single"/>
                <w:shd w:val="clear" w:color="auto" w:fill="FFFFFF"/>
              </w:rPr>
            </w:pPr>
            <w:r>
              <w:rPr>
                <w:rFonts w:hint="eastAsia" w:ascii="宋体" w:hAnsi="宋体"/>
                <w:color w:val="auto"/>
                <w:sz w:val="24"/>
                <w:highlight w:val="none"/>
                <w:shd w:val="clear" w:color="auto" w:fill="FFFFFF"/>
              </w:rPr>
              <w:t>（小写）</w:t>
            </w:r>
            <w:r>
              <w:rPr>
                <w:rFonts w:hint="eastAsia" w:ascii="宋体" w:hAnsi="宋体"/>
                <w:color w:val="auto"/>
                <w:sz w:val="24"/>
                <w:highlight w:val="none"/>
                <w:u w:val="single"/>
                <w:shd w:val="clear" w:color="auto" w:fill="FFFFFF"/>
              </w:rPr>
              <w:t xml:space="preserve">                                </w:t>
            </w:r>
          </w:p>
        </w:tc>
      </w:tr>
      <w:tr w14:paraId="391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0BD09879">
            <w:pPr>
              <w:shd w:val="clear"/>
              <w:spacing w:line="360" w:lineRule="auto"/>
              <w:jc w:val="center"/>
              <w:rPr>
                <w:rFonts w:hint="eastAsia" w:ascii="宋体" w:hAnsi="宋体" w:eastAsia="宋体"/>
                <w:color w:val="auto"/>
                <w:sz w:val="24"/>
                <w:highlight w:val="none"/>
                <w:shd w:val="clear" w:color="auto" w:fill="FFFFFF"/>
                <w:lang w:eastAsia="zh-CN"/>
              </w:rPr>
            </w:pPr>
            <w:r>
              <w:rPr>
                <w:rFonts w:hint="eastAsia" w:ascii="宋体" w:hAnsi="宋体"/>
                <w:color w:val="auto"/>
                <w:kern w:val="0"/>
                <w:sz w:val="24"/>
                <w:highlight w:val="none"/>
                <w:lang w:val="en-US" w:eastAsia="zh-CN"/>
              </w:rPr>
              <w:t>合同履行期限</w:t>
            </w:r>
          </w:p>
        </w:tc>
        <w:tc>
          <w:tcPr>
            <w:tcW w:w="6471" w:type="dxa"/>
            <w:vAlign w:val="center"/>
          </w:tcPr>
          <w:p w14:paraId="5C761513">
            <w:pPr>
              <w:shd w:val="clear"/>
              <w:spacing w:line="360" w:lineRule="auto"/>
              <w:jc w:val="center"/>
              <w:rPr>
                <w:rFonts w:hint="eastAsia" w:ascii="宋体" w:hAnsi="宋体"/>
                <w:color w:val="auto"/>
                <w:sz w:val="24"/>
                <w:highlight w:val="none"/>
                <w:shd w:val="clear" w:color="auto" w:fill="FFFFFF"/>
              </w:rPr>
            </w:pPr>
          </w:p>
        </w:tc>
      </w:tr>
      <w:tr w14:paraId="0D9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374F3CE0">
            <w:pPr>
              <w:shd w:val="clear"/>
              <w:spacing w:line="360" w:lineRule="auto"/>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质量要求</w:t>
            </w:r>
          </w:p>
        </w:tc>
        <w:tc>
          <w:tcPr>
            <w:tcW w:w="6471" w:type="dxa"/>
            <w:vAlign w:val="center"/>
          </w:tcPr>
          <w:p w14:paraId="75DF2B73">
            <w:pPr>
              <w:shd w:val="clear"/>
              <w:spacing w:line="360" w:lineRule="auto"/>
              <w:jc w:val="center"/>
              <w:rPr>
                <w:rFonts w:hint="eastAsia" w:ascii="宋体" w:hAnsi="宋体"/>
                <w:color w:val="auto"/>
                <w:sz w:val="24"/>
                <w:highlight w:val="none"/>
                <w:shd w:val="clear" w:color="auto" w:fill="FFFFFF"/>
              </w:rPr>
            </w:pPr>
          </w:p>
        </w:tc>
      </w:tr>
      <w:tr w14:paraId="32C9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51B4914C">
            <w:pPr>
              <w:shd w:val="clear"/>
              <w:spacing w:line="360" w:lineRule="auto"/>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质保期</w:t>
            </w:r>
          </w:p>
        </w:tc>
        <w:tc>
          <w:tcPr>
            <w:tcW w:w="6471" w:type="dxa"/>
            <w:vAlign w:val="center"/>
          </w:tcPr>
          <w:p w14:paraId="1736F7B7">
            <w:pPr>
              <w:shd w:val="clear"/>
              <w:spacing w:line="360" w:lineRule="auto"/>
              <w:jc w:val="center"/>
              <w:rPr>
                <w:rFonts w:hint="eastAsia" w:ascii="宋体" w:hAnsi="宋体"/>
                <w:color w:val="auto"/>
                <w:sz w:val="24"/>
                <w:highlight w:val="none"/>
                <w:shd w:val="clear" w:color="auto" w:fill="FFFFFF"/>
              </w:rPr>
            </w:pPr>
          </w:p>
        </w:tc>
      </w:tr>
      <w:tr w14:paraId="1192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268" w:type="dxa"/>
            <w:vAlign w:val="center"/>
          </w:tcPr>
          <w:p w14:paraId="0485BED1">
            <w:pPr>
              <w:shd w:val="clear"/>
              <w:spacing w:line="360" w:lineRule="auto"/>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投标有效期</w:t>
            </w:r>
          </w:p>
        </w:tc>
        <w:tc>
          <w:tcPr>
            <w:tcW w:w="6471" w:type="dxa"/>
            <w:vAlign w:val="center"/>
          </w:tcPr>
          <w:p w14:paraId="19F61BBD">
            <w:pPr>
              <w:shd w:val="clear"/>
              <w:spacing w:line="360" w:lineRule="auto"/>
              <w:jc w:val="center"/>
              <w:rPr>
                <w:rFonts w:hint="eastAsia" w:ascii="宋体" w:hAnsi="宋体"/>
                <w:color w:val="auto"/>
                <w:sz w:val="24"/>
                <w:highlight w:val="none"/>
                <w:shd w:val="clear" w:color="auto" w:fill="FFFFFF"/>
              </w:rPr>
            </w:pPr>
          </w:p>
        </w:tc>
      </w:tr>
      <w:tr w14:paraId="3E21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739" w:type="dxa"/>
            <w:gridSpan w:val="2"/>
            <w:vAlign w:val="center"/>
          </w:tcPr>
          <w:p w14:paraId="4B3DB7E9">
            <w:pPr>
              <w:shd w:val="clear"/>
              <w:spacing w:line="360" w:lineRule="auto"/>
              <w:ind w:firstLine="482" w:firstLineChars="200"/>
              <w:jc w:val="left"/>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优惠及服务承诺：</w:t>
            </w:r>
          </w:p>
          <w:p w14:paraId="19C538D1">
            <w:pPr>
              <w:shd w:val="clear"/>
              <w:spacing w:line="360" w:lineRule="auto"/>
              <w:ind w:firstLine="482" w:firstLineChars="200"/>
              <w:jc w:val="left"/>
              <w:rPr>
                <w:rFonts w:hint="eastAsia" w:ascii="宋体" w:hAnsi="宋体"/>
                <w:b/>
                <w:color w:val="auto"/>
                <w:sz w:val="24"/>
                <w:highlight w:val="none"/>
                <w:shd w:val="clear" w:color="auto" w:fill="FFFFFF"/>
              </w:rPr>
            </w:pPr>
            <w:r>
              <w:rPr>
                <w:rFonts w:hint="eastAsia" w:ascii="宋体" w:hAnsi="宋体"/>
                <w:b/>
                <w:color w:val="auto"/>
                <w:sz w:val="24"/>
                <w:highlight w:val="none"/>
                <w:shd w:val="clear" w:color="auto" w:fill="FFFFFF"/>
              </w:rPr>
              <w:t>（可另附页）</w:t>
            </w:r>
          </w:p>
        </w:tc>
      </w:tr>
    </w:tbl>
    <w:p w14:paraId="249B20F7">
      <w:pPr>
        <w:shd w:val="clear"/>
        <w:spacing w:line="360" w:lineRule="auto"/>
        <w:ind w:firstLine="480" w:firstLineChars="200"/>
        <w:jc w:val="cente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供应商（盖章）：                               </w:t>
      </w:r>
    </w:p>
    <w:p w14:paraId="6E4C76F9">
      <w:pPr>
        <w:shd w:val="clear"/>
        <w:spacing w:line="360" w:lineRule="auto"/>
        <w:jc w:val="right"/>
        <w:rPr>
          <w:rFonts w:hint="eastAsia" w:ascii="宋体" w:hAnsi="宋体"/>
          <w:color w:val="auto"/>
          <w:sz w:val="24"/>
          <w:highlight w:val="none"/>
        </w:rPr>
      </w:pPr>
      <w:r>
        <w:rPr>
          <w:rFonts w:hint="eastAsia" w:ascii="宋体" w:hAnsi="宋体"/>
          <w:color w:val="auto"/>
          <w:sz w:val="24"/>
          <w:highlight w:val="none"/>
        </w:rPr>
        <w:t xml:space="preserve">法人代表或授权代表（签字或盖章）：                                                </w:t>
      </w:r>
    </w:p>
    <w:p w14:paraId="067D2718">
      <w:pPr>
        <w:shd w:val="clear"/>
        <w:spacing w:line="360" w:lineRule="auto"/>
        <w:ind w:firstLine="480" w:firstLineChars="200"/>
        <w:jc w:val="center"/>
        <w:rPr>
          <w:rFonts w:hint="eastAsia" w:ascii="宋体" w:hAnsi="宋体"/>
          <w:color w:val="auto"/>
          <w:sz w:val="24"/>
          <w:highlight w:val="none"/>
        </w:rPr>
      </w:pPr>
      <w:r>
        <w:rPr>
          <w:rFonts w:hint="eastAsia" w:ascii="宋体" w:hAnsi="宋体"/>
          <w:color w:val="auto"/>
          <w:sz w:val="24"/>
          <w:highlight w:val="none"/>
        </w:rPr>
        <w:t xml:space="preserve">                                       年    月    日   </w:t>
      </w:r>
    </w:p>
    <w:p w14:paraId="0A518848">
      <w:pPr>
        <w:widowControl/>
        <w:shd w:val="clear"/>
        <w:spacing w:line="360" w:lineRule="auto"/>
        <w:rPr>
          <w:rFonts w:hint="eastAsia" w:ascii="宋体" w:hAnsi="宋体"/>
          <w:b/>
          <w:bCs/>
          <w:color w:val="auto"/>
          <w:kern w:val="0"/>
          <w:sz w:val="28"/>
          <w:szCs w:val="28"/>
          <w:highlight w:val="none"/>
        </w:rPr>
      </w:pPr>
      <w:bookmarkStart w:id="59" w:name="_Toc23799"/>
      <w:bookmarkStart w:id="60" w:name="_Toc12799"/>
    </w:p>
    <w:p w14:paraId="74E5ED59">
      <w:pPr>
        <w:widowControl/>
        <w:shd w:val="clear"/>
        <w:spacing w:line="360" w:lineRule="auto"/>
        <w:jc w:val="cente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投标报价明细表</w:t>
      </w:r>
      <w:bookmarkEnd w:id="59"/>
      <w:bookmarkEnd w:id="60"/>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192"/>
        <w:gridCol w:w="983"/>
        <w:gridCol w:w="963"/>
        <w:gridCol w:w="614"/>
        <w:gridCol w:w="583"/>
        <w:gridCol w:w="696"/>
        <w:gridCol w:w="936"/>
        <w:gridCol w:w="936"/>
        <w:gridCol w:w="1093"/>
      </w:tblGrid>
      <w:tr w14:paraId="282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649" w:type="pct"/>
            <w:vMerge w:val="restart"/>
            <w:tcBorders>
              <w:top w:val="single" w:color="auto" w:sz="4" w:space="0"/>
              <w:left w:val="single" w:color="auto" w:sz="4" w:space="0"/>
              <w:right w:val="single" w:color="auto" w:sz="4" w:space="0"/>
            </w:tcBorders>
            <w:vAlign w:val="center"/>
          </w:tcPr>
          <w:p w14:paraId="33CF5C34">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名称</w:t>
            </w:r>
          </w:p>
        </w:tc>
        <w:tc>
          <w:tcPr>
            <w:tcW w:w="2042" w:type="pct"/>
            <w:gridSpan w:val="4"/>
            <w:tcBorders>
              <w:top w:val="single" w:color="auto" w:sz="4" w:space="0"/>
              <w:left w:val="single" w:color="auto" w:sz="4" w:space="0"/>
              <w:bottom w:val="single" w:color="auto" w:sz="4" w:space="0"/>
              <w:right w:val="single" w:color="auto" w:sz="4" w:space="0"/>
            </w:tcBorders>
            <w:vAlign w:val="center"/>
          </w:tcPr>
          <w:p w14:paraId="35110DE2">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所投设备</w:t>
            </w:r>
          </w:p>
        </w:tc>
        <w:tc>
          <w:tcPr>
            <w:tcW w:w="317" w:type="pct"/>
            <w:vMerge w:val="restart"/>
            <w:tcBorders>
              <w:top w:val="single" w:color="auto" w:sz="4" w:space="0"/>
              <w:left w:val="single" w:color="auto" w:sz="4" w:space="0"/>
              <w:right w:val="single" w:color="auto" w:sz="4" w:space="0"/>
            </w:tcBorders>
            <w:vAlign w:val="center"/>
          </w:tcPr>
          <w:p w14:paraId="6A4E6C84">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单位</w:t>
            </w:r>
          </w:p>
        </w:tc>
        <w:tc>
          <w:tcPr>
            <w:tcW w:w="379" w:type="pct"/>
            <w:vMerge w:val="restart"/>
            <w:tcBorders>
              <w:top w:val="single" w:color="auto" w:sz="4" w:space="0"/>
              <w:left w:val="single" w:color="auto" w:sz="4" w:space="0"/>
              <w:right w:val="single" w:color="auto" w:sz="4" w:space="0"/>
            </w:tcBorders>
            <w:vAlign w:val="center"/>
          </w:tcPr>
          <w:p w14:paraId="5DA606DA">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数量</w:t>
            </w:r>
          </w:p>
        </w:tc>
        <w:tc>
          <w:tcPr>
            <w:tcW w:w="509" w:type="pct"/>
            <w:vMerge w:val="restart"/>
            <w:tcBorders>
              <w:top w:val="single" w:color="auto" w:sz="4" w:space="0"/>
              <w:left w:val="single" w:color="auto" w:sz="4" w:space="0"/>
              <w:right w:val="single" w:color="auto" w:sz="4" w:space="0"/>
            </w:tcBorders>
            <w:vAlign w:val="center"/>
          </w:tcPr>
          <w:p w14:paraId="4561BF8C">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单价（元）</w:t>
            </w:r>
          </w:p>
        </w:tc>
        <w:tc>
          <w:tcPr>
            <w:tcW w:w="509" w:type="pct"/>
            <w:vMerge w:val="restart"/>
            <w:tcBorders>
              <w:top w:val="single" w:color="auto" w:sz="4" w:space="0"/>
              <w:left w:val="single" w:color="auto" w:sz="4" w:space="0"/>
              <w:right w:val="single" w:color="auto" w:sz="4" w:space="0"/>
            </w:tcBorders>
            <w:vAlign w:val="center"/>
          </w:tcPr>
          <w:p w14:paraId="51FE3C58">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合价（元）</w:t>
            </w:r>
          </w:p>
        </w:tc>
        <w:tc>
          <w:tcPr>
            <w:tcW w:w="590" w:type="pct"/>
            <w:vMerge w:val="restart"/>
            <w:tcBorders>
              <w:top w:val="single" w:color="auto" w:sz="4" w:space="0"/>
              <w:left w:val="single" w:color="auto" w:sz="4" w:space="0"/>
              <w:right w:val="single" w:color="auto" w:sz="4" w:space="0"/>
            </w:tcBorders>
            <w:vAlign w:val="center"/>
          </w:tcPr>
          <w:p w14:paraId="215DD7AF">
            <w:pPr>
              <w:pStyle w:val="23"/>
              <w:widowControl w:val="0"/>
              <w:shd w:val="clear"/>
              <w:adjustRightInd w:val="0"/>
              <w:spacing w:before="0" w:beforeAutospacing="0" w:after="0" w:afterAutospacing="0" w:line="460" w:lineRule="exact"/>
              <w:jc w:val="center"/>
              <w:rPr>
                <w:rFonts w:hint="default" w:eastAsia="宋体"/>
                <w:bCs/>
                <w:color w:val="auto"/>
                <w:highlight w:val="none"/>
                <w:lang w:val="en-US" w:eastAsia="zh-CN"/>
              </w:rPr>
            </w:pPr>
            <w:r>
              <w:rPr>
                <w:rFonts w:hint="default" w:eastAsia="宋体"/>
                <w:bCs/>
                <w:color w:val="auto"/>
                <w:highlight w:val="none"/>
                <w:lang w:val="en-US" w:eastAsia="zh-CN"/>
              </w:rPr>
              <w:t>是否本国产品</w:t>
            </w:r>
          </w:p>
        </w:tc>
      </w:tr>
      <w:tr w14:paraId="211D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649" w:type="pct"/>
            <w:vMerge w:val="continue"/>
            <w:tcBorders>
              <w:left w:val="single" w:color="auto" w:sz="4" w:space="0"/>
              <w:bottom w:val="single" w:color="auto" w:sz="4" w:space="0"/>
              <w:right w:val="single" w:color="auto" w:sz="4" w:space="0"/>
            </w:tcBorders>
            <w:vAlign w:val="center"/>
          </w:tcPr>
          <w:p w14:paraId="24AC96AB">
            <w:pPr>
              <w:pStyle w:val="23"/>
              <w:widowControl w:val="0"/>
              <w:shd w:val="clear"/>
              <w:adjustRightInd w:val="0"/>
              <w:spacing w:before="0" w:beforeAutospacing="0" w:after="0" w:afterAutospacing="0" w:line="460" w:lineRule="exact"/>
              <w:jc w:val="center"/>
              <w:rPr>
                <w:rFonts w:hint="eastAsia"/>
                <w:bCs/>
                <w:color w:val="auto"/>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C1CF5B7">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品牌</w:t>
            </w:r>
          </w:p>
        </w:tc>
        <w:tc>
          <w:tcPr>
            <w:tcW w:w="535" w:type="pct"/>
            <w:tcBorders>
              <w:top w:val="single" w:color="auto" w:sz="4" w:space="0"/>
              <w:left w:val="single" w:color="auto" w:sz="4" w:space="0"/>
              <w:bottom w:val="single" w:color="auto" w:sz="4" w:space="0"/>
              <w:right w:val="single" w:color="auto" w:sz="4" w:space="0"/>
            </w:tcBorders>
            <w:vAlign w:val="center"/>
          </w:tcPr>
          <w:p w14:paraId="6835491B">
            <w:pPr>
              <w:pStyle w:val="23"/>
              <w:widowControl w:val="0"/>
              <w:shd w:val="clear"/>
              <w:adjustRightInd w:val="0"/>
              <w:spacing w:before="0" w:beforeAutospacing="0" w:after="0" w:afterAutospacing="0" w:line="460" w:lineRule="exact"/>
              <w:jc w:val="center"/>
              <w:rPr>
                <w:rFonts w:hint="default" w:eastAsia="宋体"/>
                <w:bCs/>
                <w:color w:val="auto"/>
                <w:highlight w:val="none"/>
                <w:lang w:val="en-US" w:eastAsia="zh-CN"/>
              </w:rPr>
            </w:pPr>
            <w:r>
              <w:rPr>
                <w:rFonts w:hint="eastAsia"/>
                <w:bCs/>
                <w:color w:val="auto"/>
                <w:highlight w:val="none"/>
              </w:rPr>
              <w:t>型号</w:t>
            </w:r>
          </w:p>
        </w:tc>
        <w:tc>
          <w:tcPr>
            <w:tcW w:w="524" w:type="pct"/>
            <w:tcBorders>
              <w:top w:val="single" w:color="auto" w:sz="4" w:space="0"/>
              <w:left w:val="single" w:color="auto" w:sz="4" w:space="0"/>
              <w:bottom w:val="single" w:color="auto" w:sz="4" w:space="0"/>
              <w:right w:val="single" w:color="auto" w:sz="4" w:space="0"/>
            </w:tcBorders>
            <w:vAlign w:val="center"/>
          </w:tcPr>
          <w:p w14:paraId="4E0B2DEB">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lang w:val="en-US" w:eastAsia="zh-CN"/>
              </w:rPr>
              <w:t>生产厂家（或制造商）</w:t>
            </w:r>
          </w:p>
        </w:tc>
        <w:tc>
          <w:tcPr>
            <w:tcW w:w="333" w:type="pct"/>
            <w:tcBorders>
              <w:top w:val="single" w:color="auto" w:sz="4" w:space="0"/>
              <w:left w:val="single" w:color="auto" w:sz="4" w:space="0"/>
              <w:bottom w:val="single" w:color="auto" w:sz="4" w:space="0"/>
              <w:right w:val="single" w:color="auto" w:sz="4" w:space="0"/>
            </w:tcBorders>
            <w:vAlign w:val="center"/>
          </w:tcPr>
          <w:p w14:paraId="1DED724E">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技术参数</w:t>
            </w:r>
          </w:p>
        </w:tc>
        <w:tc>
          <w:tcPr>
            <w:tcW w:w="317" w:type="pct"/>
            <w:vMerge w:val="continue"/>
            <w:tcBorders>
              <w:left w:val="single" w:color="auto" w:sz="4" w:space="0"/>
              <w:bottom w:val="single" w:color="auto" w:sz="4" w:space="0"/>
              <w:right w:val="single" w:color="auto" w:sz="4" w:space="0"/>
            </w:tcBorders>
            <w:vAlign w:val="center"/>
          </w:tcPr>
          <w:p w14:paraId="3946DD53">
            <w:pPr>
              <w:pStyle w:val="23"/>
              <w:widowControl w:val="0"/>
              <w:shd w:val="clear"/>
              <w:adjustRightInd w:val="0"/>
              <w:spacing w:before="0" w:beforeAutospacing="0" w:after="0" w:afterAutospacing="0" w:line="460" w:lineRule="exact"/>
              <w:jc w:val="center"/>
              <w:rPr>
                <w:rFonts w:hint="eastAsia"/>
                <w:bCs/>
                <w:color w:val="auto"/>
                <w:highlight w:val="none"/>
              </w:rPr>
            </w:pPr>
          </w:p>
        </w:tc>
        <w:tc>
          <w:tcPr>
            <w:tcW w:w="379" w:type="pct"/>
            <w:vMerge w:val="continue"/>
            <w:tcBorders>
              <w:left w:val="single" w:color="auto" w:sz="4" w:space="0"/>
              <w:bottom w:val="single" w:color="auto" w:sz="4" w:space="0"/>
              <w:right w:val="single" w:color="auto" w:sz="4" w:space="0"/>
            </w:tcBorders>
            <w:vAlign w:val="center"/>
          </w:tcPr>
          <w:p w14:paraId="6EA57B76">
            <w:pPr>
              <w:pStyle w:val="23"/>
              <w:widowControl w:val="0"/>
              <w:shd w:val="clear"/>
              <w:adjustRightInd w:val="0"/>
              <w:spacing w:before="0" w:beforeAutospacing="0" w:after="0" w:afterAutospacing="0" w:line="460" w:lineRule="exact"/>
              <w:jc w:val="center"/>
              <w:rPr>
                <w:rFonts w:hint="eastAsia"/>
                <w:bCs/>
                <w:color w:val="auto"/>
                <w:highlight w:val="none"/>
              </w:rPr>
            </w:pPr>
          </w:p>
        </w:tc>
        <w:tc>
          <w:tcPr>
            <w:tcW w:w="509" w:type="pct"/>
            <w:vMerge w:val="continue"/>
            <w:tcBorders>
              <w:left w:val="single" w:color="auto" w:sz="4" w:space="0"/>
              <w:bottom w:val="single" w:color="auto" w:sz="4" w:space="0"/>
              <w:right w:val="single" w:color="auto" w:sz="4" w:space="0"/>
            </w:tcBorders>
            <w:vAlign w:val="center"/>
          </w:tcPr>
          <w:p w14:paraId="5D7E548D">
            <w:pPr>
              <w:pStyle w:val="23"/>
              <w:widowControl w:val="0"/>
              <w:shd w:val="clear"/>
              <w:adjustRightInd w:val="0"/>
              <w:spacing w:before="0" w:beforeAutospacing="0" w:after="0" w:afterAutospacing="0" w:line="460" w:lineRule="exact"/>
              <w:ind w:firstLine="235" w:firstLineChars="98"/>
              <w:jc w:val="center"/>
              <w:rPr>
                <w:rFonts w:hint="eastAsia"/>
                <w:bCs/>
                <w:color w:val="auto"/>
                <w:highlight w:val="none"/>
              </w:rPr>
            </w:pPr>
          </w:p>
        </w:tc>
        <w:tc>
          <w:tcPr>
            <w:tcW w:w="509" w:type="pct"/>
            <w:vMerge w:val="continue"/>
            <w:tcBorders>
              <w:left w:val="single" w:color="auto" w:sz="4" w:space="0"/>
              <w:bottom w:val="single" w:color="auto" w:sz="4" w:space="0"/>
              <w:right w:val="single" w:color="auto" w:sz="4" w:space="0"/>
            </w:tcBorders>
            <w:vAlign w:val="center"/>
          </w:tcPr>
          <w:p w14:paraId="527E9AA2">
            <w:pPr>
              <w:pStyle w:val="23"/>
              <w:widowControl w:val="0"/>
              <w:shd w:val="clear"/>
              <w:adjustRightInd w:val="0"/>
              <w:spacing w:before="0" w:beforeAutospacing="0" w:after="0" w:afterAutospacing="0" w:line="460" w:lineRule="exact"/>
              <w:jc w:val="center"/>
              <w:rPr>
                <w:rFonts w:hint="eastAsia"/>
                <w:bCs/>
                <w:color w:val="auto"/>
                <w:highlight w:val="none"/>
              </w:rPr>
            </w:pPr>
          </w:p>
        </w:tc>
        <w:tc>
          <w:tcPr>
            <w:tcW w:w="590" w:type="pct"/>
            <w:vMerge w:val="continue"/>
            <w:tcBorders>
              <w:left w:val="single" w:color="auto" w:sz="4" w:space="0"/>
              <w:bottom w:val="single" w:color="auto" w:sz="4" w:space="0"/>
              <w:right w:val="single" w:color="auto" w:sz="4" w:space="0"/>
            </w:tcBorders>
          </w:tcPr>
          <w:p w14:paraId="5DFF2AE4">
            <w:pPr>
              <w:pStyle w:val="23"/>
              <w:widowControl w:val="0"/>
              <w:shd w:val="clear"/>
              <w:adjustRightInd w:val="0"/>
              <w:spacing w:before="0" w:beforeAutospacing="0" w:after="0" w:afterAutospacing="0" w:line="460" w:lineRule="exact"/>
              <w:ind w:left="105" w:leftChars="50" w:firstLine="115" w:firstLineChars="48"/>
              <w:jc w:val="center"/>
              <w:rPr>
                <w:rFonts w:hint="eastAsia"/>
                <w:bCs/>
                <w:color w:val="auto"/>
                <w:highlight w:val="none"/>
              </w:rPr>
            </w:pPr>
          </w:p>
        </w:tc>
      </w:tr>
      <w:tr w14:paraId="0E46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649" w:type="pct"/>
            <w:tcBorders>
              <w:top w:val="single" w:color="auto" w:sz="4" w:space="0"/>
              <w:left w:val="single" w:color="auto" w:sz="4" w:space="0"/>
              <w:bottom w:val="single" w:color="auto" w:sz="4" w:space="0"/>
              <w:right w:val="single" w:color="auto" w:sz="4" w:space="0"/>
            </w:tcBorders>
          </w:tcPr>
          <w:p w14:paraId="7DCD8187">
            <w:pPr>
              <w:shd w:val="clear"/>
              <w:spacing w:line="460" w:lineRule="exact"/>
              <w:jc w:val="center"/>
              <w:rPr>
                <w:rFonts w:hint="eastAsia" w:ascii="宋体" w:hAnsi="宋体" w:cs="宋体"/>
                <w:bCs/>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tcPr>
          <w:p w14:paraId="4FEF128D">
            <w:pPr>
              <w:shd w:val="clear"/>
              <w:spacing w:line="460" w:lineRule="exact"/>
              <w:jc w:val="center"/>
              <w:rPr>
                <w:rFonts w:hint="eastAsia" w:ascii="宋体" w:hAnsi="宋体" w:cs="宋体"/>
                <w:bCs/>
                <w:color w:val="auto"/>
                <w:sz w:val="24"/>
                <w:highlight w:val="none"/>
              </w:rPr>
            </w:pPr>
          </w:p>
        </w:tc>
        <w:tc>
          <w:tcPr>
            <w:tcW w:w="535" w:type="pct"/>
            <w:tcBorders>
              <w:top w:val="single" w:color="auto" w:sz="4" w:space="0"/>
              <w:left w:val="single" w:color="auto" w:sz="4" w:space="0"/>
              <w:bottom w:val="single" w:color="auto" w:sz="4" w:space="0"/>
              <w:right w:val="single" w:color="auto" w:sz="4" w:space="0"/>
            </w:tcBorders>
          </w:tcPr>
          <w:p w14:paraId="21A78477">
            <w:pPr>
              <w:shd w:val="clear"/>
              <w:spacing w:line="460" w:lineRule="exact"/>
              <w:jc w:val="center"/>
              <w:rPr>
                <w:rFonts w:hint="eastAsia" w:ascii="宋体" w:hAnsi="宋体" w:cs="宋体"/>
                <w:bCs/>
                <w:color w:val="auto"/>
                <w:sz w:val="24"/>
                <w:highlight w:val="none"/>
              </w:rPr>
            </w:pPr>
          </w:p>
        </w:tc>
        <w:tc>
          <w:tcPr>
            <w:tcW w:w="524" w:type="pct"/>
            <w:tcBorders>
              <w:top w:val="single" w:color="auto" w:sz="4" w:space="0"/>
              <w:left w:val="single" w:color="auto" w:sz="4" w:space="0"/>
              <w:bottom w:val="single" w:color="auto" w:sz="4" w:space="0"/>
              <w:right w:val="single" w:color="auto" w:sz="4" w:space="0"/>
            </w:tcBorders>
          </w:tcPr>
          <w:p w14:paraId="2B41A25A">
            <w:pPr>
              <w:shd w:val="clear"/>
              <w:spacing w:line="460" w:lineRule="exact"/>
              <w:jc w:val="center"/>
              <w:rPr>
                <w:rFonts w:hint="eastAsia" w:ascii="宋体" w:hAnsi="宋体" w:cs="宋体"/>
                <w:bCs/>
                <w:color w:val="auto"/>
                <w:sz w:val="24"/>
                <w:highlight w:val="none"/>
              </w:rPr>
            </w:pPr>
          </w:p>
        </w:tc>
        <w:tc>
          <w:tcPr>
            <w:tcW w:w="333" w:type="pct"/>
            <w:tcBorders>
              <w:top w:val="single" w:color="auto" w:sz="4" w:space="0"/>
              <w:left w:val="single" w:color="auto" w:sz="4" w:space="0"/>
              <w:bottom w:val="single" w:color="auto" w:sz="4" w:space="0"/>
              <w:right w:val="single" w:color="auto" w:sz="4" w:space="0"/>
            </w:tcBorders>
          </w:tcPr>
          <w:p w14:paraId="32918985">
            <w:pPr>
              <w:shd w:val="clear"/>
              <w:spacing w:line="460" w:lineRule="exact"/>
              <w:jc w:val="center"/>
              <w:rPr>
                <w:rFonts w:hint="eastAsia" w:ascii="宋体" w:hAnsi="宋体" w:cs="宋体"/>
                <w:bCs/>
                <w:color w:val="auto"/>
                <w:sz w:val="24"/>
                <w:highlight w:val="none"/>
              </w:rPr>
            </w:pPr>
          </w:p>
        </w:tc>
        <w:tc>
          <w:tcPr>
            <w:tcW w:w="317" w:type="pct"/>
            <w:tcBorders>
              <w:top w:val="single" w:color="auto" w:sz="4" w:space="0"/>
              <w:left w:val="single" w:color="auto" w:sz="4" w:space="0"/>
              <w:bottom w:val="single" w:color="auto" w:sz="4" w:space="0"/>
              <w:right w:val="single" w:color="auto" w:sz="4" w:space="0"/>
            </w:tcBorders>
          </w:tcPr>
          <w:p w14:paraId="14558750">
            <w:pPr>
              <w:shd w:val="clear"/>
              <w:spacing w:line="460" w:lineRule="exact"/>
              <w:jc w:val="center"/>
              <w:rPr>
                <w:rFonts w:hint="eastAsia" w:ascii="宋体" w:hAnsi="宋体" w:cs="宋体"/>
                <w:bCs/>
                <w:color w:val="auto"/>
                <w:sz w:val="24"/>
                <w:highlight w:val="none"/>
              </w:rPr>
            </w:pPr>
          </w:p>
        </w:tc>
        <w:tc>
          <w:tcPr>
            <w:tcW w:w="379" w:type="pct"/>
            <w:tcBorders>
              <w:top w:val="single" w:color="auto" w:sz="4" w:space="0"/>
              <w:left w:val="single" w:color="auto" w:sz="4" w:space="0"/>
              <w:bottom w:val="single" w:color="auto" w:sz="4" w:space="0"/>
              <w:right w:val="single" w:color="auto" w:sz="4" w:space="0"/>
            </w:tcBorders>
          </w:tcPr>
          <w:p w14:paraId="3034D34B">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759AA5CE">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48D7CD91">
            <w:pPr>
              <w:shd w:val="clear"/>
              <w:spacing w:line="460" w:lineRule="exact"/>
              <w:jc w:val="center"/>
              <w:rPr>
                <w:rFonts w:hint="eastAsia" w:ascii="宋体" w:hAnsi="宋体" w:cs="宋体"/>
                <w:bCs/>
                <w:color w:val="auto"/>
                <w:sz w:val="24"/>
                <w:highlight w:val="none"/>
              </w:rPr>
            </w:pPr>
          </w:p>
        </w:tc>
        <w:tc>
          <w:tcPr>
            <w:tcW w:w="590" w:type="pct"/>
            <w:tcBorders>
              <w:top w:val="single" w:color="auto" w:sz="4" w:space="0"/>
              <w:left w:val="single" w:color="auto" w:sz="4" w:space="0"/>
              <w:bottom w:val="single" w:color="auto" w:sz="4" w:space="0"/>
              <w:right w:val="single" w:color="auto" w:sz="4" w:space="0"/>
            </w:tcBorders>
          </w:tcPr>
          <w:p w14:paraId="19F605BA">
            <w:pPr>
              <w:shd w:val="clear"/>
              <w:spacing w:line="460" w:lineRule="exact"/>
              <w:jc w:val="center"/>
              <w:rPr>
                <w:rFonts w:hint="eastAsia" w:ascii="宋体" w:hAnsi="宋体" w:cs="宋体"/>
                <w:bCs/>
                <w:color w:val="auto"/>
                <w:sz w:val="24"/>
                <w:highlight w:val="none"/>
              </w:rPr>
            </w:pPr>
          </w:p>
        </w:tc>
      </w:tr>
      <w:tr w14:paraId="76C4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49" w:type="pct"/>
            <w:tcBorders>
              <w:top w:val="single" w:color="auto" w:sz="4" w:space="0"/>
              <w:left w:val="single" w:color="auto" w:sz="4" w:space="0"/>
              <w:bottom w:val="single" w:color="auto" w:sz="4" w:space="0"/>
              <w:right w:val="single" w:color="auto" w:sz="4" w:space="0"/>
            </w:tcBorders>
          </w:tcPr>
          <w:p w14:paraId="3CE098E3">
            <w:pPr>
              <w:shd w:val="clear"/>
              <w:spacing w:line="460" w:lineRule="exact"/>
              <w:jc w:val="center"/>
              <w:rPr>
                <w:rFonts w:hint="eastAsia" w:ascii="宋体" w:hAnsi="宋体" w:cs="宋体"/>
                <w:bCs/>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tcPr>
          <w:p w14:paraId="0F560A18">
            <w:pPr>
              <w:shd w:val="clear"/>
              <w:spacing w:line="460" w:lineRule="exact"/>
              <w:jc w:val="center"/>
              <w:rPr>
                <w:rFonts w:hint="eastAsia" w:ascii="宋体" w:hAnsi="宋体" w:cs="宋体"/>
                <w:bCs/>
                <w:color w:val="auto"/>
                <w:sz w:val="24"/>
                <w:highlight w:val="none"/>
              </w:rPr>
            </w:pPr>
          </w:p>
        </w:tc>
        <w:tc>
          <w:tcPr>
            <w:tcW w:w="535" w:type="pct"/>
            <w:tcBorders>
              <w:top w:val="single" w:color="auto" w:sz="4" w:space="0"/>
              <w:left w:val="single" w:color="auto" w:sz="4" w:space="0"/>
              <w:bottom w:val="single" w:color="auto" w:sz="4" w:space="0"/>
              <w:right w:val="single" w:color="auto" w:sz="4" w:space="0"/>
            </w:tcBorders>
          </w:tcPr>
          <w:p w14:paraId="72CDF516">
            <w:pPr>
              <w:shd w:val="clear"/>
              <w:spacing w:line="460" w:lineRule="exact"/>
              <w:jc w:val="center"/>
              <w:rPr>
                <w:rFonts w:hint="eastAsia" w:ascii="宋体" w:hAnsi="宋体" w:cs="宋体"/>
                <w:bCs/>
                <w:color w:val="auto"/>
                <w:sz w:val="24"/>
                <w:highlight w:val="none"/>
              </w:rPr>
            </w:pPr>
          </w:p>
        </w:tc>
        <w:tc>
          <w:tcPr>
            <w:tcW w:w="524" w:type="pct"/>
            <w:tcBorders>
              <w:top w:val="single" w:color="auto" w:sz="4" w:space="0"/>
              <w:left w:val="single" w:color="auto" w:sz="4" w:space="0"/>
              <w:bottom w:val="single" w:color="auto" w:sz="4" w:space="0"/>
              <w:right w:val="single" w:color="auto" w:sz="4" w:space="0"/>
            </w:tcBorders>
          </w:tcPr>
          <w:p w14:paraId="364469DF">
            <w:pPr>
              <w:shd w:val="clear"/>
              <w:spacing w:line="460" w:lineRule="exact"/>
              <w:jc w:val="center"/>
              <w:rPr>
                <w:rFonts w:hint="eastAsia" w:ascii="宋体" w:hAnsi="宋体" w:cs="宋体"/>
                <w:bCs/>
                <w:color w:val="auto"/>
                <w:sz w:val="24"/>
                <w:highlight w:val="none"/>
              </w:rPr>
            </w:pPr>
          </w:p>
        </w:tc>
        <w:tc>
          <w:tcPr>
            <w:tcW w:w="333" w:type="pct"/>
            <w:tcBorders>
              <w:top w:val="single" w:color="auto" w:sz="4" w:space="0"/>
              <w:left w:val="single" w:color="auto" w:sz="4" w:space="0"/>
              <w:bottom w:val="single" w:color="auto" w:sz="4" w:space="0"/>
              <w:right w:val="single" w:color="auto" w:sz="4" w:space="0"/>
            </w:tcBorders>
          </w:tcPr>
          <w:p w14:paraId="624039F0">
            <w:pPr>
              <w:shd w:val="clear"/>
              <w:spacing w:line="460" w:lineRule="exact"/>
              <w:jc w:val="center"/>
              <w:rPr>
                <w:rFonts w:hint="eastAsia" w:ascii="宋体" w:hAnsi="宋体" w:cs="宋体"/>
                <w:bCs/>
                <w:color w:val="auto"/>
                <w:sz w:val="24"/>
                <w:highlight w:val="none"/>
              </w:rPr>
            </w:pPr>
          </w:p>
        </w:tc>
        <w:tc>
          <w:tcPr>
            <w:tcW w:w="317" w:type="pct"/>
            <w:tcBorders>
              <w:top w:val="single" w:color="auto" w:sz="4" w:space="0"/>
              <w:left w:val="single" w:color="auto" w:sz="4" w:space="0"/>
              <w:bottom w:val="single" w:color="auto" w:sz="4" w:space="0"/>
              <w:right w:val="single" w:color="auto" w:sz="4" w:space="0"/>
            </w:tcBorders>
          </w:tcPr>
          <w:p w14:paraId="54FB8A39">
            <w:pPr>
              <w:shd w:val="clear"/>
              <w:spacing w:line="460" w:lineRule="exact"/>
              <w:jc w:val="center"/>
              <w:rPr>
                <w:rFonts w:hint="eastAsia" w:ascii="宋体" w:hAnsi="宋体" w:cs="宋体"/>
                <w:bCs/>
                <w:color w:val="auto"/>
                <w:sz w:val="24"/>
                <w:highlight w:val="none"/>
              </w:rPr>
            </w:pPr>
          </w:p>
        </w:tc>
        <w:tc>
          <w:tcPr>
            <w:tcW w:w="379" w:type="pct"/>
            <w:tcBorders>
              <w:top w:val="single" w:color="auto" w:sz="4" w:space="0"/>
              <w:left w:val="single" w:color="auto" w:sz="4" w:space="0"/>
              <w:bottom w:val="single" w:color="auto" w:sz="4" w:space="0"/>
              <w:right w:val="single" w:color="auto" w:sz="4" w:space="0"/>
            </w:tcBorders>
          </w:tcPr>
          <w:p w14:paraId="50F284F9">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02E41D40">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0442DD19">
            <w:pPr>
              <w:shd w:val="clear"/>
              <w:spacing w:line="460" w:lineRule="exact"/>
              <w:jc w:val="center"/>
              <w:rPr>
                <w:rFonts w:hint="eastAsia" w:ascii="宋体" w:hAnsi="宋体" w:cs="宋体"/>
                <w:bCs/>
                <w:color w:val="auto"/>
                <w:sz w:val="24"/>
                <w:highlight w:val="none"/>
              </w:rPr>
            </w:pPr>
          </w:p>
        </w:tc>
        <w:tc>
          <w:tcPr>
            <w:tcW w:w="590" w:type="pct"/>
            <w:tcBorders>
              <w:top w:val="single" w:color="auto" w:sz="4" w:space="0"/>
              <w:left w:val="single" w:color="auto" w:sz="4" w:space="0"/>
              <w:bottom w:val="single" w:color="auto" w:sz="4" w:space="0"/>
              <w:right w:val="single" w:color="auto" w:sz="4" w:space="0"/>
            </w:tcBorders>
          </w:tcPr>
          <w:p w14:paraId="1428A815">
            <w:pPr>
              <w:shd w:val="clear"/>
              <w:spacing w:line="460" w:lineRule="exact"/>
              <w:jc w:val="center"/>
              <w:rPr>
                <w:rFonts w:hint="eastAsia" w:ascii="宋体" w:hAnsi="宋体" w:cs="宋体"/>
                <w:bCs/>
                <w:color w:val="auto"/>
                <w:sz w:val="24"/>
                <w:highlight w:val="none"/>
              </w:rPr>
            </w:pPr>
          </w:p>
        </w:tc>
      </w:tr>
      <w:tr w14:paraId="37B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49" w:type="pct"/>
            <w:tcBorders>
              <w:top w:val="single" w:color="auto" w:sz="4" w:space="0"/>
              <w:left w:val="single" w:color="auto" w:sz="4" w:space="0"/>
              <w:bottom w:val="single" w:color="auto" w:sz="4" w:space="0"/>
              <w:right w:val="single" w:color="auto" w:sz="4" w:space="0"/>
            </w:tcBorders>
          </w:tcPr>
          <w:p w14:paraId="7AE7F3E6">
            <w:pPr>
              <w:shd w:val="clear"/>
              <w:spacing w:line="460" w:lineRule="exact"/>
              <w:jc w:val="center"/>
              <w:rPr>
                <w:rFonts w:hint="eastAsia" w:ascii="宋体" w:hAnsi="宋体" w:cs="宋体"/>
                <w:bCs/>
                <w:color w:val="auto"/>
                <w:sz w:val="24"/>
                <w:highlight w:val="none"/>
              </w:rPr>
            </w:pPr>
          </w:p>
        </w:tc>
        <w:tc>
          <w:tcPr>
            <w:tcW w:w="649" w:type="pct"/>
            <w:tcBorders>
              <w:top w:val="single" w:color="auto" w:sz="4" w:space="0"/>
              <w:left w:val="single" w:color="auto" w:sz="4" w:space="0"/>
              <w:bottom w:val="single" w:color="auto" w:sz="4" w:space="0"/>
              <w:right w:val="single" w:color="auto" w:sz="4" w:space="0"/>
            </w:tcBorders>
          </w:tcPr>
          <w:p w14:paraId="2F84B3F8">
            <w:pPr>
              <w:shd w:val="clear"/>
              <w:spacing w:line="460" w:lineRule="exact"/>
              <w:jc w:val="center"/>
              <w:rPr>
                <w:rFonts w:hint="eastAsia" w:ascii="宋体" w:hAnsi="宋体" w:cs="宋体"/>
                <w:bCs/>
                <w:color w:val="auto"/>
                <w:sz w:val="24"/>
                <w:highlight w:val="none"/>
              </w:rPr>
            </w:pPr>
          </w:p>
        </w:tc>
        <w:tc>
          <w:tcPr>
            <w:tcW w:w="535" w:type="pct"/>
            <w:tcBorders>
              <w:top w:val="single" w:color="auto" w:sz="4" w:space="0"/>
              <w:left w:val="single" w:color="auto" w:sz="4" w:space="0"/>
              <w:bottom w:val="single" w:color="auto" w:sz="4" w:space="0"/>
              <w:right w:val="single" w:color="auto" w:sz="4" w:space="0"/>
            </w:tcBorders>
          </w:tcPr>
          <w:p w14:paraId="10F8FCD9">
            <w:pPr>
              <w:shd w:val="clear"/>
              <w:spacing w:line="460" w:lineRule="exact"/>
              <w:jc w:val="center"/>
              <w:rPr>
                <w:rFonts w:hint="eastAsia" w:ascii="宋体" w:hAnsi="宋体" w:cs="宋体"/>
                <w:bCs/>
                <w:color w:val="auto"/>
                <w:sz w:val="24"/>
                <w:highlight w:val="none"/>
              </w:rPr>
            </w:pPr>
          </w:p>
        </w:tc>
        <w:tc>
          <w:tcPr>
            <w:tcW w:w="524" w:type="pct"/>
            <w:tcBorders>
              <w:top w:val="single" w:color="auto" w:sz="4" w:space="0"/>
              <w:left w:val="single" w:color="auto" w:sz="4" w:space="0"/>
              <w:bottom w:val="single" w:color="auto" w:sz="4" w:space="0"/>
              <w:right w:val="single" w:color="auto" w:sz="4" w:space="0"/>
            </w:tcBorders>
          </w:tcPr>
          <w:p w14:paraId="5A10ACC5">
            <w:pPr>
              <w:shd w:val="clear"/>
              <w:spacing w:line="460" w:lineRule="exact"/>
              <w:jc w:val="center"/>
              <w:rPr>
                <w:rFonts w:hint="eastAsia" w:ascii="宋体" w:hAnsi="宋体" w:cs="宋体"/>
                <w:bCs/>
                <w:color w:val="auto"/>
                <w:sz w:val="24"/>
                <w:highlight w:val="none"/>
              </w:rPr>
            </w:pPr>
          </w:p>
        </w:tc>
        <w:tc>
          <w:tcPr>
            <w:tcW w:w="333" w:type="pct"/>
            <w:tcBorders>
              <w:top w:val="single" w:color="auto" w:sz="4" w:space="0"/>
              <w:left w:val="single" w:color="auto" w:sz="4" w:space="0"/>
              <w:bottom w:val="single" w:color="auto" w:sz="4" w:space="0"/>
              <w:right w:val="single" w:color="auto" w:sz="4" w:space="0"/>
            </w:tcBorders>
          </w:tcPr>
          <w:p w14:paraId="3B08DCCF">
            <w:pPr>
              <w:shd w:val="clear"/>
              <w:spacing w:line="460" w:lineRule="exact"/>
              <w:jc w:val="center"/>
              <w:rPr>
                <w:rFonts w:hint="eastAsia" w:ascii="宋体" w:hAnsi="宋体" w:cs="宋体"/>
                <w:bCs/>
                <w:color w:val="auto"/>
                <w:sz w:val="24"/>
                <w:highlight w:val="none"/>
              </w:rPr>
            </w:pPr>
          </w:p>
        </w:tc>
        <w:tc>
          <w:tcPr>
            <w:tcW w:w="317" w:type="pct"/>
            <w:tcBorders>
              <w:top w:val="single" w:color="auto" w:sz="4" w:space="0"/>
              <w:left w:val="single" w:color="auto" w:sz="4" w:space="0"/>
              <w:bottom w:val="single" w:color="auto" w:sz="4" w:space="0"/>
              <w:right w:val="single" w:color="auto" w:sz="4" w:space="0"/>
            </w:tcBorders>
          </w:tcPr>
          <w:p w14:paraId="5E0BD214">
            <w:pPr>
              <w:shd w:val="clear"/>
              <w:spacing w:line="460" w:lineRule="exact"/>
              <w:jc w:val="center"/>
              <w:rPr>
                <w:rFonts w:hint="eastAsia" w:ascii="宋体" w:hAnsi="宋体" w:cs="宋体"/>
                <w:bCs/>
                <w:color w:val="auto"/>
                <w:sz w:val="24"/>
                <w:highlight w:val="none"/>
              </w:rPr>
            </w:pPr>
          </w:p>
        </w:tc>
        <w:tc>
          <w:tcPr>
            <w:tcW w:w="379" w:type="pct"/>
            <w:tcBorders>
              <w:top w:val="single" w:color="auto" w:sz="4" w:space="0"/>
              <w:left w:val="single" w:color="auto" w:sz="4" w:space="0"/>
              <w:bottom w:val="single" w:color="auto" w:sz="4" w:space="0"/>
              <w:right w:val="single" w:color="auto" w:sz="4" w:space="0"/>
            </w:tcBorders>
          </w:tcPr>
          <w:p w14:paraId="06874427">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0E4E3B73">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6A4B75DA">
            <w:pPr>
              <w:shd w:val="clear"/>
              <w:spacing w:line="460" w:lineRule="exact"/>
              <w:jc w:val="center"/>
              <w:rPr>
                <w:rFonts w:hint="eastAsia" w:ascii="宋体" w:hAnsi="宋体" w:cs="宋体"/>
                <w:bCs/>
                <w:color w:val="auto"/>
                <w:sz w:val="24"/>
                <w:highlight w:val="none"/>
              </w:rPr>
            </w:pPr>
          </w:p>
        </w:tc>
        <w:tc>
          <w:tcPr>
            <w:tcW w:w="590" w:type="pct"/>
            <w:tcBorders>
              <w:top w:val="single" w:color="auto" w:sz="4" w:space="0"/>
              <w:left w:val="single" w:color="auto" w:sz="4" w:space="0"/>
              <w:bottom w:val="single" w:color="auto" w:sz="4" w:space="0"/>
              <w:right w:val="single" w:color="auto" w:sz="4" w:space="0"/>
            </w:tcBorders>
          </w:tcPr>
          <w:p w14:paraId="6BF52C8C">
            <w:pPr>
              <w:shd w:val="clear"/>
              <w:spacing w:line="460" w:lineRule="exact"/>
              <w:jc w:val="center"/>
              <w:rPr>
                <w:rFonts w:hint="eastAsia" w:ascii="宋体" w:hAnsi="宋体" w:cs="宋体"/>
                <w:bCs/>
                <w:color w:val="auto"/>
                <w:sz w:val="24"/>
                <w:highlight w:val="none"/>
              </w:rPr>
            </w:pPr>
          </w:p>
        </w:tc>
      </w:tr>
      <w:tr w14:paraId="7C9E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49" w:type="pct"/>
            <w:tcBorders>
              <w:top w:val="single" w:color="auto" w:sz="4" w:space="0"/>
              <w:left w:val="single" w:color="auto" w:sz="4" w:space="0"/>
              <w:bottom w:val="single" w:color="auto" w:sz="4" w:space="0"/>
              <w:right w:val="single" w:color="auto" w:sz="4" w:space="0"/>
            </w:tcBorders>
          </w:tcPr>
          <w:p w14:paraId="15C28ABE">
            <w:pPr>
              <w:shd w:val="clear"/>
              <w:spacing w:line="460" w:lineRule="exact"/>
              <w:jc w:val="center"/>
              <w:rPr>
                <w:rStyle w:val="86"/>
                <w:rFonts w:hint="eastAsia"/>
                <w:color w:val="auto"/>
                <w:sz w:val="24"/>
                <w:szCs w:val="24"/>
                <w:highlight w:val="none"/>
                <w:lang w:val="en-US"/>
              </w:rPr>
            </w:pPr>
          </w:p>
        </w:tc>
        <w:tc>
          <w:tcPr>
            <w:tcW w:w="649" w:type="pct"/>
            <w:tcBorders>
              <w:top w:val="single" w:color="auto" w:sz="4" w:space="0"/>
              <w:left w:val="single" w:color="auto" w:sz="4" w:space="0"/>
              <w:bottom w:val="single" w:color="auto" w:sz="4" w:space="0"/>
              <w:right w:val="single" w:color="auto" w:sz="4" w:space="0"/>
            </w:tcBorders>
          </w:tcPr>
          <w:p w14:paraId="635169FF">
            <w:pPr>
              <w:shd w:val="clear"/>
              <w:spacing w:line="460" w:lineRule="exact"/>
              <w:jc w:val="center"/>
              <w:rPr>
                <w:rFonts w:hint="eastAsia" w:ascii="宋体" w:hAnsi="宋体" w:cs="宋体"/>
                <w:bCs/>
                <w:color w:val="auto"/>
                <w:sz w:val="24"/>
                <w:highlight w:val="none"/>
              </w:rPr>
            </w:pPr>
          </w:p>
        </w:tc>
        <w:tc>
          <w:tcPr>
            <w:tcW w:w="535" w:type="pct"/>
            <w:tcBorders>
              <w:top w:val="single" w:color="auto" w:sz="4" w:space="0"/>
              <w:left w:val="single" w:color="auto" w:sz="4" w:space="0"/>
              <w:bottom w:val="single" w:color="auto" w:sz="4" w:space="0"/>
              <w:right w:val="single" w:color="auto" w:sz="4" w:space="0"/>
            </w:tcBorders>
          </w:tcPr>
          <w:p w14:paraId="455C46B6">
            <w:pPr>
              <w:shd w:val="clear"/>
              <w:spacing w:line="460" w:lineRule="exact"/>
              <w:jc w:val="center"/>
              <w:rPr>
                <w:rFonts w:hint="eastAsia" w:ascii="宋体" w:hAnsi="宋体" w:cs="宋体"/>
                <w:bCs/>
                <w:color w:val="auto"/>
                <w:sz w:val="24"/>
                <w:highlight w:val="none"/>
              </w:rPr>
            </w:pPr>
          </w:p>
        </w:tc>
        <w:tc>
          <w:tcPr>
            <w:tcW w:w="524" w:type="pct"/>
            <w:tcBorders>
              <w:top w:val="single" w:color="auto" w:sz="4" w:space="0"/>
              <w:left w:val="single" w:color="auto" w:sz="4" w:space="0"/>
              <w:bottom w:val="single" w:color="auto" w:sz="4" w:space="0"/>
              <w:right w:val="single" w:color="auto" w:sz="4" w:space="0"/>
            </w:tcBorders>
          </w:tcPr>
          <w:p w14:paraId="0A1CE0E8">
            <w:pPr>
              <w:shd w:val="clear"/>
              <w:spacing w:line="460" w:lineRule="exact"/>
              <w:jc w:val="center"/>
              <w:rPr>
                <w:rFonts w:hint="eastAsia" w:ascii="宋体" w:hAnsi="宋体" w:cs="宋体"/>
                <w:bCs/>
                <w:color w:val="auto"/>
                <w:sz w:val="24"/>
                <w:highlight w:val="none"/>
              </w:rPr>
            </w:pPr>
          </w:p>
        </w:tc>
        <w:tc>
          <w:tcPr>
            <w:tcW w:w="333" w:type="pct"/>
            <w:tcBorders>
              <w:top w:val="single" w:color="auto" w:sz="4" w:space="0"/>
              <w:left w:val="single" w:color="auto" w:sz="4" w:space="0"/>
              <w:bottom w:val="single" w:color="auto" w:sz="4" w:space="0"/>
              <w:right w:val="single" w:color="auto" w:sz="4" w:space="0"/>
            </w:tcBorders>
          </w:tcPr>
          <w:p w14:paraId="00117D40">
            <w:pPr>
              <w:shd w:val="clear"/>
              <w:spacing w:line="460" w:lineRule="exact"/>
              <w:jc w:val="center"/>
              <w:rPr>
                <w:rFonts w:hint="eastAsia" w:ascii="宋体" w:hAnsi="宋体" w:cs="宋体"/>
                <w:bCs/>
                <w:color w:val="auto"/>
                <w:sz w:val="24"/>
                <w:highlight w:val="none"/>
              </w:rPr>
            </w:pPr>
          </w:p>
        </w:tc>
        <w:tc>
          <w:tcPr>
            <w:tcW w:w="317" w:type="pct"/>
            <w:tcBorders>
              <w:top w:val="single" w:color="auto" w:sz="4" w:space="0"/>
              <w:left w:val="single" w:color="auto" w:sz="4" w:space="0"/>
              <w:bottom w:val="single" w:color="auto" w:sz="4" w:space="0"/>
              <w:right w:val="single" w:color="auto" w:sz="4" w:space="0"/>
            </w:tcBorders>
          </w:tcPr>
          <w:p w14:paraId="39FEBE84">
            <w:pPr>
              <w:shd w:val="clear"/>
              <w:spacing w:line="460" w:lineRule="exact"/>
              <w:jc w:val="center"/>
              <w:rPr>
                <w:rFonts w:hint="eastAsia" w:ascii="宋体" w:hAnsi="宋体" w:cs="宋体"/>
                <w:bCs/>
                <w:color w:val="auto"/>
                <w:sz w:val="24"/>
                <w:highlight w:val="none"/>
              </w:rPr>
            </w:pPr>
          </w:p>
        </w:tc>
        <w:tc>
          <w:tcPr>
            <w:tcW w:w="379" w:type="pct"/>
            <w:tcBorders>
              <w:top w:val="single" w:color="auto" w:sz="4" w:space="0"/>
              <w:left w:val="single" w:color="auto" w:sz="4" w:space="0"/>
              <w:bottom w:val="single" w:color="auto" w:sz="4" w:space="0"/>
              <w:right w:val="single" w:color="auto" w:sz="4" w:space="0"/>
            </w:tcBorders>
          </w:tcPr>
          <w:p w14:paraId="7CDFA59E">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2AE199CF">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2BD653F8">
            <w:pPr>
              <w:shd w:val="clear"/>
              <w:spacing w:line="460" w:lineRule="exact"/>
              <w:jc w:val="center"/>
              <w:rPr>
                <w:rFonts w:hint="eastAsia" w:ascii="宋体" w:hAnsi="宋体" w:cs="宋体"/>
                <w:bCs/>
                <w:color w:val="auto"/>
                <w:sz w:val="24"/>
                <w:highlight w:val="none"/>
              </w:rPr>
            </w:pPr>
          </w:p>
        </w:tc>
        <w:tc>
          <w:tcPr>
            <w:tcW w:w="590" w:type="pct"/>
            <w:tcBorders>
              <w:top w:val="single" w:color="auto" w:sz="4" w:space="0"/>
              <w:left w:val="single" w:color="auto" w:sz="4" w:space="0"/>
              <w:bottom w:val="single" w:color="auto" w:sz="4" w:space="0"/>
              <w:right w:val="single" w:color="auto" w:sz="4" w:space="0"/>
            </w:tcBorders>
          </w:tcPr>
          <w:p w14:paraId="58602CA8">
            <w:pPr>
              <w:shd w:val="clear"/>
              <w:spacing w:line="460" w:lineRule="exact"/>
              <w:jc w:val="center"/>
              <w:rPr>
                <w:rFonts w:hint="eastAsia" w:ascii="宋体" w:hAnsi="宋体" w:cs="宋体"/>
                <w:bCs/>
                <w:color w:val="auto"/>
                <w:sz w:val="24"/>
                <w:highlight w:val="none"/>
              </w:rPr>
            </w:pPr>
          </w:p>
        </w:tc>
      </w:tr>
      <w:tr w14:paraId="51F7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49" w:type="pct"/>
            <w:tcBorders>
              <w:top w:val="single" w:color="auto" w:sz="4" w:space="0"/>
              <w:left w:val="single" w:color="auto" w:sz="4" w:space="0"/>
              <w:bottom w:val="single" w:color="auto" w:sz="4" w:space="0"/>
              <w:right w:val="single" w:color="auto" w:sz="4" w:space="0"/>
            </w:tcBorders>
          </w:tcPr>
          <w:p w14:paraId="54AD3903">
            <w:pPr>
              <w:shd w:val="clear"/>
              <w:spacing w:line="4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w:t>
            </w:r>
          </w:p>
        </w:tc>
        <w:tc>
          <w:tcPr>
            <w:tcW w:w="649" w:type="pct"/>
            <w:tcBorders>
              <w:top w:val="single" w:color="auto" w:sz="4" w:space="0"/>
              <w:left w:val="single" w:color="auto" w:sz="4" w:space="0"/>
              <w:bottom w:val="single" w:color="auto" w:sz="4" w:space="0"/>
              <w:right w:val="single" w:color="auto" w:sz="4" w:space="0"/>
            </w:tcBorders>
          </w:tcPr>
          <w:p w14:paraId="1470FEEF">
            <w:pPr>
              <w:shd w:val="clear"/>
              <w:spacing w:line="460" w:lineRule="exact"/>
              <w:jc w:val="center"/>
              <w:rPr>
                <w:rFonts w:hint="eastAsia" w:ascii="宋体" w:hAnsi="宋体" w:cs="宋体"/>
                <w:bCs/>
                <w:color w:val="auto"/>
                <w:sz w:val="24"/>
                <w:highlight w:val="none"/>
              </w:rPr>
            </w:pPr>
          </w:p>
        </w:tc>
        <w:tc>
          <w:tcPr>
            <w:tcW w:w="535" w:type="pct"/>
            <w:tcBorders>
              <w:top w:val="single" w:color="auto" w:sz="4" w:space="0"/>
              <w:left w:val="single" w:color="auto" w:sz="4" w:space="0"/>
              <w:bottom w:val="single" w:color="auto" w:sz="4" w:space="0"/>
              <w:right w:val="single" w:color="auto" w:sz="4" w:space="0"/>
            </w:tcBorders>
          </w:tcPr>
          <w:p w14:paraId="4DF0DE4E">
            <w:pPr>
              <w:shd w:val="clear"/>
              <w:spacing w:line="460" w:lineRule="exact"/>
              <w:jc w:val="center"/>
              <w:rPr>
                <w:rFonts w:hint="eastAsia" w:ascii="宋体" w:hAnsi="宋体" w:cs="宋体"/>
                <w:bCs/>
                <w:color w:val="auto"/>
                <w:sz w:val="24"/>
                <w:highlight w:val="none"/>
              </w:rPr>
            </w:pPr>
          </w:p>
        </w:tc>
        <w:tc>
          <w:tcPr>
            <w:tcW w:w="524" w:type="pct"/>
            <w:tcBorders>
              <w:top w:val="single" w:color="auto" w:sz="4" w:space="0"/>
              <w:left w:val="single" w:color="auto" w:sz="4" w:space="0"/>
              <w:bottom w:val="single" w:color="auto" w:sz="4" w:space="0"/>
              <w:right w:val="single" w:color="auto" w:sz="4" w:space="0"/>
            </w:tcBorders>
          </w:tcPr>
          <w:p w14:paraId="306265DD">
            <w:pPr>
              <w:shd w:val="clear"/>
              <w:spacing w:line="460" w:lineRule="exact"/>
              <w:jc w:val="center"/>
              <w:rPr>
                <w:rFonts w:hint="eastAsia" w:ascii="宋体" w:hAnsi="宋体" w:cs="宋体"/>
                <w:bCs/>
                <w:color w:val="auto"/>
                <w:sz w:val="24"/>
                <w:highlight w:val="none"/>
              </w:rPr>
            </w:pPr>
          </w:p>
        </w:tc>
        <w:tc>
          <w:tcPr>
            <w:tcW w:w="333" w:type="pct"/>
            <w:tcBorders>
              <w:top w:val="single" w:color="auto" w:sz="4" w:space="0"/>
              <w:left w:val="single" w:color="auto" w:sz="4" w:space="0"/>
              <w:bottom w:val="single" w:color="auto" w:sz="4" w:space="0"/>
              <w:right w:val="single" w:color="auto" w:sz="4" w:space="0"/>
            </w:tcBorders>
          </w:tcPr>
          <w:p w14:paraId="2C8D3B1E">
            <w:pPr>
              <w:shd w:val="clear"/>
              <w:spacing w:line="460" w:lineRule="exact"/>
              <w:jc w:val="center"/>
              <w:rPr>
                <w:rFonts w:hint="eastAsia" w:ascii="宋体" w:hAnsi="宋体" w:cs="宋体"/>
                <w:bCs/>
                <w:color w:val="auto"/>
                <w:sz w:val="24"/>
                <w:highlight w:val="none"/>
              </w:rPr>
            </w:pPr>
          </w:p>
        </w:tc>
        <w:tc>
          <w:tcPr>
            <w:tcW w:w="317" w:type="pct"/>
            <w:tcBorders>
              <w:top w:val="single" w:color="auto" w:sz="4" w:space="0"/>
              <w:left w:val="single" w:color="auto" w:sz="4" w:space="0"/>
              <w:bottom w:val="single" w:color="auto" w:sz="4" w:space="0"/>
              <w:right w:val="single" w:color="auto" w:sz="4" w:space="0"/>
            </w:tcBorders>
          </w:tcPr>
          <w:p w14:paraId="4121AD23">
            <w:pPr>
              <w:shd w:val="clear"/>
              <w:spacing w:line="460" w:lineRule="exact"/>
              <w:jc w:val="center"/>
              <w:rPr>
                <w:rFonts w:hint="eastAsia" w:ascii="宋体" w:hAnsi="宋体" w:cs="宋体"/>
                <w:bCs/>
                <w:color w:val="auto"/>
                <w:sz w:val="24"/>
                <w:highlight w:val="none"/>
              </w:rPr>
            </w:pPr>
          </w:p>
        </w:tc>
        <w:tc>
          <w:tcPr>
            <w:tcW w:w="379" w:type="pct"/>
            <w:tcBorders>
              <w:top w:val="single" w:color="auto" w:sz="4" w:space="0"/>
              <w:left w:val="single" w:color="auto" w:sz="4" w:space="0"/>
              <w:bottom w:val="single" w:color="auto" w:sz="4" w:space="0"/>
              <w:right w:val="single" w:color="auto" w:sz="4" w:space="0"/>
            </w:tcBorders>
          </w:tcPr>
          <w:p w14:paraId="43FBFD3E">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352F1215">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69D5924F">
            <w:pPr>
              <w:shd w:val="clear"/>
              <w:spacing w:line="460" w:lineRule="exact"/>
              <w:jc w:val="center"/>
              <w:rPr>
                <w:rFonts w:hint="eastAsia" w:ascii="宋体" w:hAnsi="宋体" w:cs="宋体"/>
                <w:bCs/>
                <w:color w:val="auto"/>
                <w:sz w:val="24"/>
                <w:highlight w:val="none"/>
              </w:rPr>
            </w:pPr>
          </w:p>
        </w:tc>
        <w:tc>
          <w:tcPr>
            <w:tcW w:w="590" w:type="pct"/>
            <w:tcBorders>
              <w:top w:val="single" w:color="auto" w:sz="4" w:space="0"/>
              <w:left w:val="single" w:color="auto" w:sz="4" w:space="0"/>
              <w:bottom w:val="single" w:color="auto" w:sz="4" w:space="0"/>
              <w:right w:val="single" w:color="auto" w:sz="4" w:space="0"/>
            </w:tcBorders>
          </w:tcPr>
          <w:p w14:paraId="415AC301">
            <w:pPr>
              <w:shd w:val="clear"/>
              <w:spacing w:line="460" w:lineRule="exact"/>
              <w:jc w:val="center"/>
              <w:rPr>
                <w:rFonts w:hint="eastAsia" w:ascii="宋体" w:hAnsi="宋体" w:cs="宋体"/>
                <w:bCs/>
                <w:color w:val="auto"/>
                <w:sz w:val="24"/>
                <w:highlight w:val="none"/>
              </w:rPr>
            </w:pPr>
          </w:p>
        </w:tc>
      </w:tr>
      <w:tr w14:paraId="6FB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649" w:type="pct"/>
            <w:tcBorders>
              <w:top w:val="single" w:color="auto" w:sz="4" w:space="0"/>
              <w:left w:val="single" w:color="auto" w:sz="4" w:space="0"/>
              <w:bottom w:val="single" w:color="auto" w:sz="4" w:space="0"/>
              <w:right w:val="single" w:color="auto" w:sz="4" w:space="0"/>
            </w:tcBorders>
          </w:tcPr>
          <w:p w14:paraId="2DD3A2DF">
            <w:pPr>
              <w:shd w:val="clear"/>
              <w:spacing w:line="460" w:lineRule="exact"/>
              <w:rPr>
                <w:rFonts w:hint="eastAsia" w:ascii="宋体" w:hAnsi="宋体" w:cs="宋体"/>
                <w:bCs/>
                <w:color w:val="auto"/>
                <w:sz w:val="24"/>
                <w:highlight w:val="none"/>
              </w:rPr>
            </w:pPr>
            <w:r>
              <w:rPr>
                <w:rFonts w:hint="eastAsia" w:ascii="宋体" w:hAnsi="宋体" w:cs="宋体"/>
                <w:bCs/>
                <w:color w:val="auto"/>
                <w:sz w:val="24"/>
                <w:highlight w:val="none"/>
              </w:rPr>
              <w:t>合计（元）</w:t>
            </w:r>
          </w:p>
        </w:tc>
        <w:tc>
          <w:tcPr>
            <w:tcW w:w="4350" w:type="pct"/>
            <w:gridSpan w:val="9"/>
            <w:tcBorders>
              <w:top w:val="single" w:color="auto" w:sz="4" w:space="0"/>
              <w:left w:val="single" w:color="auto" w:sz="4" w:space="0"/>
              <w:bottom w:val="single" w:color="auto" w:sz="4" w:space="0"/>
              <w:right w:val="single" w:color="auto" w:sz="4" w:space="0"/>
            </w:tcBorders>
          </w:tcPr>
          <w:p w14:paraId="2B1C1736">
            <w:pPr>
              <w:shd w:val="clear"/>
              <w:spacing w:line="460" w:lineRule="exact"/>
              <w:rPr>
                <w:rFonts w:hint="eastAsia" w:ascii="宋体" w:hAnsi="宋体" w:cs="宋体"/>
                <w:bCs/>
                <w:color w:val="auto"/>
                <w:sz w:val="24"/>
                <w:highlight w:val="none"/>
              </w:rPr>
            </w:pPr>
            <w:r>
              <w:rPr>
                <w:rFonts w:hint="eastAsia" w:ascii="宋体" w:hAnsi="宋体" w:cs="宋体"/>
                <w:bCs/>
                <w:color w:val="auto"/>
                <w:sz w:val="24"/>
                <w:highlight w:val="none"/>
              </w:rPr>
              <w:t>大写：                                 小写：</w:t>
            </w:r>
          </w:p>
        </w:tc>
      </w:tr>
      <w:tr w14:paraId="7B1A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5000" w:type="pct"/>
            <w:gridSpan w:val="10"/>
            <w:tcBorders>
              <w:top w:val="single" w:color="auto" w:sz="4" w:space="0"/>
              <w:left w:val="single" w:color="auto" w:sz="4" w:space="0"/>
              <w:bottom w:val="single" w:color="auto" w:sz="4" w:space="0"/>
              <w:right w:val="single" w:color="auto" w:sz="4" w:space="0"/>
            </w:tcBorders>
          </w:tcPr>
          <w:p w14:paraId="426F0971">
            <w:pPr>
              <w:keepNext w:val="0"/>
              <w:keepLines w:val="0"/>
              <w:widowControl/>
              <w:suppressLineNumbers w:val="0"/>
              <w:shd w:val="clear"/>
              <w:jc w:val="left"/>
              <w:rPr>
                <w:color w:val="auto"/>
                <w:highlight w:val="none"/>
              </w:rPr>
            </w:pPr>
            <w:r>
              <w:rPr>
                <w:rFonts w:hint="eastAsia" w:ascii="宋体" w:hAnsi="宋体" w:cs="宋体"/>
                <w:b/>
                <w:color w:val="auto"/>
                <w:sz w:val="24"/>
                <w:highlight w:val="none"/>
              </w:rPr>
              <w:t>重要提示：1、本表的每一页须加盖企业印章；2、本表内容涉及有国家标准的产品，须填写名称、品牌、型号及技术参数、报价等（若品牌、型号等填写的与实际不符，按照无效标处理）</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3、供应商可根据需要自行增减表格行数。</w:t>
            </w:r>
          </w:p>
          <w:p w14:paraId="48478731">
            <w:pPr>
              <w:shd w:val="clear"/>
              <w:spacing w:line="460" w:lineRule="exact"/>
              <w:rPr>
                <w:rFonts w:hint="eastAsia" w:ascii="宋体" w:hAnsi="宋体" w:cs="宋体"/>
                <w:bCs/>
                <w:color w:val="auto"/>
                <w:sz w:val="24"/>
                <w:highlight w:val="none"/>
              </w:rPr>
            </w:pPr>
          </w:p>
        </w:tc>
      </w:tr>
    </w:tbl>
    <w:p w14:paraId="3A1DDADE">
      <w:pPr>
        <w:pStyle w:val="16"/>
        <w:shd w:val="clear"/>
        <w:adjustRightInd w:val="0"/>
        <w:snapToGrid w:val="0"/>
        <w:spacing w:line="360" w:lineRule="auto"/>
        <w:ind w:firstLine="480" w:firstLineChars="200"/>
        <w:jc w:val="center"/>
        <w:rPr>
          <w:rFonts w:hint="eastAsia" w:hAnsi="Calibri"/>
          <w:color w:val="auto"/>
          <w:sz w:val="24"/>
          <w:szCs w:val="24"/>
          <w:highlight w:val="none"/>
          <w:lang w:val="en-US" w:eastAsia="zh-CN"/>
        </w:rPr>
      </w:pPr>
    </w:p>
    <w:p w14:paraId="36E044E9">
      <w:pPr>
        <w:pStyle w:val="16"/>
        <w:shd w:val="clear"/>
        <w:adjustRightInd w:val="0"/>
        <w:snapToGrid w:val="0"/>
        <w:spacing w:line="360" w:lineRule="auto"/>
        <w:ind w:firstLine="480" w:firstLineChars="200"/>
        <w:jc w:val="center"/>
        <w:rPr>
          <w:rFonts w:hAnsi="Calibri"/>
          <w:color w:val="auto"/>
          <w:sz w:val="24"/>
          <w:szCs w:val="24"/>
          <w:highlight w:val="none"/>
        </w:rPr>
      </w:pPr>
      <w:r>
        <w:rPr>
          <w:rFonts w:hint="eastAsia" w:hAnsi="Calibri"/>
          <w:color w:val="auto"/>
          <w:sz w:val="24"/>
          <w:szCs w:val="24"/>
          <w:highlight w:val="none"/>
          <w:lang w:val="en-US" w:eastAsia="zh-CN"/>
        </w:rPr>
        <w:t xml:space="preserve">  </w:t>
      </w:r>
      <w:r>
        <w:rPr>
          <w:rFonts w:hint="eastAsia" w:hAnsi="Calibri"/>
          <w:color w:val="auto"/>
          <w:sz w:val="24"/>
          <w:szCs w:val="24"/>
          <w:highlight w:val="none"/>
        </w:rPr>
        <w:t>供应商：（盖章）</w:t>
      </w:r>
    </w:p>
    <w:p w14:paraId="54C05E68">
      <w:pPr>
        <w:pStyle w:val="16"/>
        <w:shd w:val="clear"/>
        <w:adjustRightInd w:val="0"/>
        <w:snapToGrid w:val="0"/>
        <w:spacing w:line="360" w:lineRule="auto"/>
        <w:ind w:firstLine="480" w:firstLineChars="200"/>
        <w:jc w:val="right"/>
        <w:rPr>
          <w:rFonts w:hAnsi="Calibri"/>
          <w:color w:val="auto"/>
          <w:sz w:val="24"/>
          <w:szCs w:val="24"/>
          <w:highlight w:val="none"/>
        </w:rPr>
      </w:pPr>
      <w:r>
        <w:rPr>
          <w:rFonts w:hint="eastAsia" w:hAnsi="Calibri"/>
          <w:color w:val="auto"/>
          <w:sz w:val="24"/>
          <w:szCs w:val="24"/>
          <w:highlight w:val="none"/>
        </w:rPr>
        <w:t>法定代表人或授权委托代理人：（签字或盖章）</w:t>
      </w:r>
    </w:p>
    <w:p w14:paraId="72F2ABB9">
      <w:pPr>
        <w:pStyle w:val="16"/>
        <w:shd w:val="clear"/>
        <w:adjustRightInd w:val="0"/>
        <w:snapToGrid w:val="0"/>
        <w:spacing w:line="360" w:lineRule="auto"/>
        <w:ind w:firstLine="480" w:firstLineChars="200"/>
        <w:jc w:val="right"/>
        <w:rPr>
          <w:rFonts w:hAnsi="Calibri"/>
          <w:color w:val="auto"/>
          <w:sz w:val="24"/>
          <w:szCs w:val="24"/>
          <w:highlight w:val="none"/>
        </w:rPr>
      </w:pPr>
      <w:r>
        <w:rPr>
          <w:rFonts w:hint="eastAsia" w:hAnsi="Calibri"/>
          <w:color w:val="auto"/>
          <w:sz w:val="24"/>
          <w:szCs w:val="24"/>
          <w:highlight w:val="none"/>
        </w:rPr>
        <w:t>年    月     日</w:t>
      </w:r>
    </w:p>
    <w:p w14:paraId="62B2C048">
      <w:pPr>
        <w:pStyle w:val="16"/>
        <w:shd w:val="clear"/>
        <w:adjustRightInd w:val="0"/>
        <w:snapToGrid w:val="0"/>
        <w:spacing w:line="360" w:lineRule="auto"/>
        <w:ind w:firstLine="480" w:firstLineChars="200"/>
        <w:jc w:val="right"/>
        <w:rPr>
          <w:rFonts w:hAnsi="Calibri"/>
          <w:color w:val="auto"/>
          <w:sz w:val="24"/>
          <w:szCs w:val="24"/>
          <w:highlight w:val="none"/>
        </w:rPr>
      </w:pPr>
    </w:p>
    <w:p w14:paraId="7E876F88">
      <w:pPr>
        <w:pStyle w:val="16"/>
        <w:shd w:val="clear"/>
        <w:adjustRightInd w:val="0"/>
        <w:snapToGrid w:val="0"/>
        <w:spacing w:line="360" w:lineRule="auto"/>
        <w:ind w:firstLine="480" w:firstLineChars="200"/>
        <w:jc w:val="right"/>
        <w:rPr>
          <w:rFonts w:hAnsi="Calibri"/>
          <w:color w:val="auto"/>
          <w:sz w:val="24"/>
          <w:szCs w:val="24"/>
          <w:highlight w:val="none"/>
        </w:rPr>
      </w:pPr>
    </w:p>
    <w:p w14:paraId="65155312">
      <w:pPr>
        <w:pStyle w:val="16"/>
        <w:shd w:val="clear"/>
        <w:adjustRightInd w:val="0"/>
        <w:snapToGrid w:val="0"/>
        <w:spacing w:line="360" w:lineRule="auto"/>
        <w:ind w:firstLine="480" w:firstLineChars="200"/>
        <w:jc w:val="right"/>
        <w:rPr>
          <w:rFonts w:hAnsi="Calibri"/>
          <w:color w:val="auto"/>
          <w:sz w:val="24"/>
          <w:szCs w:val="24"/>
          <w:highlight w:val="none"/>
        </w:rPr>
      </w:pPr>
    </w:p>
    <w:p w14:paraId="2CCEAB65">
      <w:pPr>
        <w:pStyle w:val="16"/>
        <w:shd w:val="clear"/>
        <w:adjustRightInd w:val="0"/>
        <w:snapToGrid w:val="0"/>
        <w:spacing w:line="360" w:lineRule="auto"/>
        <w:ind w:firstLine="480" w:firstLineChars="200"/>
        <w:jc w:val="right"/>
        <w:rPr>
          <w:rFonts w:hAnsi="Calibri"/>
          <w:color w:val="auto"/>
          <w:sz w:val="24"/>
          <w:szCs w:val="24"/>
          <w:highlight w:val="none"/>
        </w:rPr>
      </w:pPr>
    </w:p>
    <w:p w14:paraId="7006A6CE">
      <w:pPr>
        <w:widowControl/>
        <w:shd w:val="clear"/>
        <w:spacing w:line="360" w:lineRule="auto"/>
        <w:jc w:val="cente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第二轮报价表</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190"/>
        <w:gridCol w:w="998"/>
        <w:gridCol w:w="946"/>
        <w:gridCol w:w="617"/>
        <w:gridCol w:w="581"/>
        <w:gridCol w:w="695"/>
        <w:gridCol w:w="936"/>
        <w:gridCol w:w="936"/>
        <w:gridCol w:w="1099"/>
      </w:tblGrid>
      <w:tr w14:paraId="2B1B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648" w:type="pct"/>
            <w:vMerge w:val="restart"/>
            <w:tcBorders>
              <w:top w:val="single" w:color="auto" w:sz="4" w:space="0"/>
              <w:left w:val="single" w:color="auto" w:sz="4" w:space="0"/>
              <w:right w:val="single" w:color="auto" w:sz="4" w:space="0"/>
            </w:tcBorders>
            <w:vAlign w:val="center"/>
          </w:tcPr>
          <w:p w14:paraId="49085317">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名称</w:t>
            </w:r>
          </w:p>
        </w:tc>
        <w:tc>
          <w:tcPr>
            <w:tcW w:w="2042" w:type="pct"/>
            <w:gridSpan w:val="4"/>
            <w:tcBorders>
              <w:top w:val="single" w:color="auto" w:sz="4" w:space="0"/>
              <w:left w:val="single" w:color="auto" w:sz="4" w:space="0"/>
              <w:bottom w:val="single" w:color="auto" w:sz="4" w:space="0"/>
              <w:right w:val="single" w:color="auto" w:sz="4" w:space="0"/>
            </w:tcBorders>
            <w:vAlign w:val="center"/>
          </w:tcPr>
          <w:p w14:paraId="74488B10">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所投设备</w:t>
            </w:r>
          </w:p>
        </w:tc>
        <w:tc>
          <w:tcPr>
            <w:tcW w:w="316" w:type="pct"/>
            <w:vMerge w:val="restart"/>
            <w:tcBorders>
              <w:top w:val="single" w:color="auto" w:sz="4" w:space="0"/>
              <w:left w:val="single" w:color="auto" w:sz="4" w:space="0"/>
              <w:right w:val="single" w:color="auto" w:sz="4" w:space="0"/>
            </w:tcBorders>
            <w:vAlign w:val="center"/>
          </w:tcPr>
          <w:p w14:paraId="478A5767">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单位</w:t>
            </w:r>
          </w:p>
        </w:tc>
        <w:tc>
          <w:tcPr>
            <w:tcW w:w="378" w:type="pct"/>
            <w:vMerge w:val="restart"/>
            <w:tcBorders>
              <w:top w:val="single" w:color="auto" w:sz="4" w:space="0"/>
              <w:left w:val="single" w:color="auto" w:sz="4" w:space="0"/>
              <w:right w:val="single" w:color="auto" w:sz="4" w:space="0"/>
            </w:tcBorders>
            <w:vAlign w:val="center"/>
          </w:tcPr>
          <w:p w14:paraId="33D0C118">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数量</w:t>
            </w:r>
          </w:p>
        </w:tc>
        <w:tc>
          <w:tcPr>
            <w:tcW w:w="509" w:type="pct"/>
            <w:vMerge w:val="restart"/>
            <w:tcBorders>
              <w:top w:val="single" w:color="auto" w:sz="4" w:space="0"/>
              <w:left w:val="single" w:color="auto" w:sz="4" w:space="0"/>
              <w:right w:val="single" w:color="auto" w:sz="4" w:space="0"/>
            </w:tcBorders>
            <w:vAlign w:val="center"/>
          </w:tcPr>
          <w:p w14:paraId="02303805">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单价（元）</w:t>
            </w:r>
          </w:p>
        </w:tc>
        <w:tc>
          <w:tcPr>
            <w:tcW w:w="509" w:type="pct"/>
            <w:vMerge w:val="restart"/>
            <w:tcBorders>
              <w:top w:val="single" w:color="auto" w:sz="4" w:space="0"/>
              <w:left w:val="single" w:color="auto" w:sz="4" w:space="0"/>
              <w:right w:val="single" w:color="auto" w:sz="4" w:space="0"/>
            </w:tcBorders>
            <w:vAlign w:val="center"/>
          </w:tcPr>
          <w:p w14:paraId="5058F119">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合价（元）</w:t>
            </w:r>
          </w:p>
        </w:tc>
        <w:tc>
          <w:tcPr>
            <w:tcW w:w="594" w:type="pct"/>
            <w:vMerge w:val="restart"/>
            <w:tcBorders>
              <w:top w:val="single" w:color="auto" w:sz="4" w:space="0"/>
              <w:left w:val="single" w:color="auto" w:sz="4" w:space="0"/>
              <w:right w:val="single" w:color="auto" w:sz="4" w:space="0"/>
            </w:tcBorders>
            <w:vAlign w:val="center"/>
          </w:tcPr>
          <w:p w14:paraId="61C08D47">
            <w:pPr>
              <w:pStyle w:val="23"/>
              <w:widowControl w:val="0"/>
              <w:shd w:val="clear"/>
              <w:adjustRightInd w:val="0"/>
              <w:spacing w:before="0" w:beforeAutospacing="0" w:after="0" w:afterAutospacing="0" w:line="460" w:lineRule="exact"/>
              <w:jc w:val="center"/>
              <w:rPr>
                <w:rFonts w:hint="default" w:eastAsia="宋体"/>
                <w:bCs/>
                <w:color w:val="auto"/>
                <w:highlight w:val="none"/>
                <w:lang w:val="en-US" w:eastAsia="zh-CN"/>
              </w:rPr>
            </w:pPr>
            <w:r>
              <w:rPr>
                <w:rFonts w:hint="default" w:eastAsia="宋体"/>
                <w:bCs/>
                <w:color w:val="auto"/>
                <w:highlight w:val="none"/>
                <w:lang w:val="en-US" w:eastAsia="zh-CN"/>
              </w:rPr>
              <w:t>是否本国产品</w:t>
            </w:r>
          </w:p>
        </w:tc>
      </w:tr>
      <w:tr w14:paraId="23CE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648" w:type="pct"/>
            <w:vMerge w:val="continue"/>
            <w:tcBorders>
              <w:left w:val="single" w:color="auto" w:sz="4" w:space="0"/>
              <w:bottom w:val="single" w:color="auto" w:sz="4" w:space="0"/>
              <w:right w:val="single" w:color="auto" w:sz="4" w:space="0"/>
            </w:tcBorders>
            <w:vAlign w:val="center"/>
          </w:tcPr>
          <w:p w14:paraId="59581F1D">
            <w:pPr>
              <w:pStyle w:val="23"/>
              <w:widowControl w:val="0"/>
              <w:shd w:val="clear"/>
              <w:adjustRightInd w:val="0"/>
              <w:spacing w:before="0" w:beforeAutospacing="0" w:after="0" w:afterAutospacing="0" w:line="460" w:lineRule="exact"/>
              <w:jc w:val="center"/>
              <w:rPr>
                <w:rFonts w:hint="eastAsia"/>
                <w:bCs/>
                <w:color w:val="auto"/>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C1317C9">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品牌</w:t>
            </w:r>
          </w:p>
        </w:tc>
        <w:tc>
          <w:tcPr>
            <w:tcW w:w="543" w:type="pct"/>
            <w:tcBorders>
              <w:top w:val="single" w:color="auto" w:sz="4" w:space="0"/>
              <w:left w:val="single" w:color="auto" w:sz="4" w:space="0"/>
              <w:bottom w:val="single" w:color="auto" w:sz="4" w:space="0"/>
              <w:right w:val="single" w:color="auto" w:sz="4" w:space="0"/>
            </w:tcBorders>
            <w:vAlign w:val="center"/>
          </w:tcPr>
          <w:p w14:paraId="3DC18888">
            <w:pPr>
              <w:pStyle w:val="23"/>
              <w:widowControl w:val="0"/>
              <w:shd w:val="clear"/>
              <w:adjustRightInd w:val="0"/>
              <w:spacing w:before="0" w:beforeAutospacing="0" w:after="0" w:afterAutospacing="0" w:line="460" w:lineRule="exact"/>
              <w:jc w:val="center"/>
              <w:rPr>
                <w:rFonts w:hint="default" w:eastAsia="宋体"/>
                <w:bCs/>
                <w:color w:val="auto"/>
                <w:highlight w:val="none"/>
                <w:lang w:val="en-US" w:eastAsia="zh-CN"/>
              </w:rPr>
            </w:pPr>
            <w:r>
              <w:rPr>
                <w:rFonts w:hint="eastAsia"/>
                <w:bCs/>
                <w:color w:val="auto"/>
                <w:highlight w:val="none"/>
              </w:rPr>
              <w:t>型号</w:t>
            </w:r>
          </w:p>
        </w:tc>
        <w:tc>
          <w:tcPr>
            <w:tcW w:w="515" w:type="pct"/>
            <w:tcBorders>
              <w:top w:val="single" w:color="auto" w:sz="4" w:space="0"/>
              <w:left w:val="single" w:color="auto" w:sz="4" w:space="0"/>
              <w:bottom w:val="single" w:color="auto" w:sz="4" w:space="0"/>
              <w:right w:val="single" w:color="auto" w:sz="4" w:space="0"/>
            </w:tcBorders>
            <w:vAlign w:val="center"/>
          </w:tcPr>
          <w:p w14:paraId="252879CA">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lang w:val="en-US" w:eastAsia="zh-CN"/>
              </w:rPr>
              <w:t>生产厂家（或制造商）</w:t>
            </w:r>
          </w:p>
        </w:tc>
        <w:tc>
          <w:tcPr>
            <w:tcW w:w="334" w:type="pct"/>
            <w:tcBorders>
              <w:top w:val="single" w:color="auto" w:sz="4" w:space="0"/>
              <w:left w:val="single" w:color="auto" w:sz="4" w:space="0"/>
              <w:bottom w:val="single" w:color="auto" w:sz="4" w:space="0"/>
              <w:right w:val="single" w:color="auto" w:sz="4" w:space="0"/>
            </w:tcBorders>
            <w:vAlign w:val="center"/>
          </w:tcPr>
          <w:p w14:paraId="7810B41E">
            <w:pPr>
              <w:pStyle w:val="23"/>
              <w:widowControl w:val="0"/>
              <w:shd w:val="clear"/>
              <w:adjustRightInd w:val="0"/>
              <w:spacing w:before="0" w:beforeAutospacing="0" w:after="0" w:afterAutospacing="0" w:line="460" w:lineRule="exact"/>
              <w:jc w:val="center"/>
              <w:rPr>
                <w:rFonts w:hint="eastAsia"/>
                <w:bCs/>
                <w:color w:val="auto"/>
                <w:highlight w:val="none"/>
              </w:rPr>
            </w:pPr>
            <w:r>
              <w:rPr>
                <w:rFonts w:hint="eastAsia"/>
                <w:bCs/>
                <w:color w:val="auto"/>
                <w:highlight w:val="none"/>
              </w:rPr>
              <w:t>技术参数</w:t>
            </w:r>
          </w:p>
        </w:tc>
        <w:tc>
          <w:tcPr>
            <w:tcW w:w="316" w:type="pct"/>
            <w:vMerge w:val="continue"/>
            <w:tcBorders>
              <w:left w:val="single" w:color="auto" w:sz="4" w:space="0"/>
              <w:bottom w:val="single" w:color="auto" w:sz="4" w:space="0"/>
              <w:right w:val="single" w:color="auto" w:sz="4" w:space="0"/>
            </w:tcBorders>
            <w:vAlign w:val="center"/>
          </w:tcPr>
          <w:p w14:paraId="57096158">
            <w:pPr>
              <w:pStyle w:val="23"/>
              <w:widowControl w:val="0"/>
              <w:shd w:val="clear"/>
              <w:adjustRightInd w:val="0"/>
              <w:spacing w:before="0" w:beforeAutospacing="0" w:after="0" w:afterAutospacing="0" w:line="460" w:lineRule="exact"/>
              <w:jc w:val="center"/>
              <w:rPr>
                <w:rFonts w:hint="eastAsia"/>
                <w:bCs/>
                <w:color w:val="auto"/>
                <w:highlight w:val="none"/>
              </w:rPr>
            </w:pPr>
          </w:p>
        </w:tc>
        <w:tc>
          <w:tcPr>
            <w:tcW w:w="378" w:type="pct"/>
            <w:vMerge w:val="continue"/>
            <w:tcBorders>
              <w:left w:val="single" w:color="auto" w:sz="4" w:space="0"/>
              <w:bottom w:val="single" w:color="auto" w:sz="4" w:space="0"/>
              <w:right w:val="single" w:color="auto" w:sz="4" w:space="0"/>
            </w:tcBorders>
            <w:vAlign w:val="center"/>
          </w:tcPr>
          <w:p w14:paraId="097B5B2F">
            <w:pPr>
              <w:pStyle w:val="23"/>
              <w:widowControl w:val="0"/>
              <w:shd w:val="clear"/>
              <w:adjustRightInd w:val="0"/>
              <w:spacing w:before="0" w:beforeAutospacing="0" w:after="0" w:afterAutospacing="0" w:line="460" w:lineRule="exact"/>
              <w:jc w:val="center"/>
              <w:rPr>
                <w:rFonts w:hint="eastAsia"/>
                <w:bCs/>
                <w:color w:val="auto"/>
                <w:highlight w:val="none"/>
              </w:rPr>
            </w:pPr>
          </w:p>
        </w:tc>
        <w:tc>
          <w:tcPr>
            <w:tcW w:w="509" w:type="pct"/>
            <w:vMerge w:val="continue"/>
            <w:tcBorders>
              <w:left w:val="single" w:color="auto" w:sz="4" w:space="0"/>
              <w:bottom w:val="single" w:color="auto" w:sz="4" w:space="0"/>
              <w:right w:val="single" w:color="auto" w:sz="4" w:space="0"/>
            </w:tcBorders>
            <w:vAlign w:val="center"/>
          </w:tcPr>
          <w:p w14:paraId="1CAEF200">
            <w:pPr>
              <w:pStyle w:val="23"/>
              <w:widowControl w:val="0"/>
              <w:shd w:val="clear"/>
              <w:adjustRightInd w:val="0"/>
              <w:spacing w:before="0" w:beforeAutospacing="0" w:after="0" w:afterAutospacing="0" w:line="460" w:lineRule="exact"/>
              <w:ind w:firstLine="235" w:firstLineChars="98"/>
              <w:jc w:val="center"/>
              <w:rPr>
                <w:rFonts w:hint="eastAsia"/>
                <w:bCs/>
                <w:color w:val="auto"/>
                <w:highlight w:val="none"/>
              </w:rPr>
            </w:pPr>
          </w:p>
        </w:tc>
        <w:tc>
          <w:tcPr>
            <w:tcW w:w="509" w:type="pct"/>
            <w:vMerge w:val="continue"/>
            <w:tcBorders>
              <w:left w:val="single" w:color="auto" w:sz="4" w:space="0"/>
              <w:bottom w:val="single" w:color="auto" w:sz="4" w:space="0"/>
              <w:right w:val="single" w:color="auto" w:sz="4" w:space="0"/>
            </w:tcBorders>
            <w:vAlign w:val="center"/>
          </w:tcPr>
          <w:p w14:paraId="599DD527">
            <w:pPr>
              <w:pStyle w:val="23"/>
              <w:widowControl w:val="0"/>
              <w:shd w:val="clear"/>
              <w:adjustRightInd w:val="0"/>
              <w:spacing w:before="0" w:beforeAutospacing="0" w:after="0" w:afterAutospacing="0" w:line="460" w:lineRule="exact"/>
              <w:jc w:val="center"/>
              <w:rPr>
                <w:rFonts w:hint="eastAsia"/>
                <w:bCs/>
                <w:color w:val="auto"/>
                <w:highlight w:val="none"/>
              </w:rPr>
            </w:pPr>
          </w:p>
        </w:tc>
        <w:tc>
          <w:tcPr>
            <w:tcW w:w="594" w:type="pct"/>
            <w:vMerge w:val="continue"/>
            <w:tcBorders>
              <w:left w:val="single" w:color="auto" w:sz="4" w:space="0"/>
              <w:bottom w:val="single" w:color="auto" w:sz="4" w:space="0"/>
              <w:right w:val="single" w:color="auto" w:sz="4" w:space="0"/>
            </w:tcBorders>
          </w:tcPr>
          <w:p w14:paraId="70ABBE5C">
            <w:pPr>
              <w:pStyle w:val="23"/>
              <w:widowControl w:val="0"/>
              <w:shd w:val="clear"/>
              <w:adjustRightInd w:val="0"/>
              <w:spacing w:before="0" w:beforeAutospacing="0" w:after="0" w:afterAutospacing="0" w:line="460" w:lineRule="exact"/>
              <w:ind w:left="105" w:leftChars="50" w:firstLine="115" w:firstLineChars="48"/>
              <w:jc w:val="center"/>
              <w:rPr>
                <w:rFonts w:hint="eastAsia"/>
                <w:bCs/>
                <w:color w:val="auto"/>
                <w:highlight w:val="none"/>
              </w:rPr>
            </w:pPr>
          </w:p>
        </w:tc>
      </w:tr>
      <w:tr w14:paraId="49BC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648" w:type="pct"/>
            <w:tcBorders>
              <w:top w:val="single" w:color="auto" w:sz="4" w:space="0"/>
              <w:left w:val="single" w:color="auto" w:sz="4" w:space="0"/>
              <w:bottom w:val="single" w:color="auto" w:sz="4" w:space="0"/>
              <w:right w:val="single" w:color="auto" w:sz="4" w:space="0"/>
            </w:tcBorders>
          </w:tcPr>
          <w:p w14:paraId="06807098">
            <w:pPr>
              <w:shd w:val="clear"/>
              <w:spacing w:line="460" w:lineRule="exact"/>
              <w:jc w:val="center"/>
              <w:rPr>
                <w:rFonts w:hint="eastAsia" w:ascii="宋体" w:hAnsi="宋体" w:cs="宋体"/>
                <w:bCs/>
                <w:color w:val="auto"/>
                <w:sz w:val="24"/>
                <w:highlight w:val="none"/>
              </w:rPr>
            </w:pPr>
          </w:p>
        </w:tc>
        <w:tc>
          <w:tcPr>
            <w:tcW w:w="648" w:type="pct"/>
            <w:tcBorders>
              <w:top w:val="single" w:color="auto" w:sz="4" w:space="0"/>
              <w:left w:val="single" w:color="auto" w:sz="4" w:space="0"/>
              <w:bottom w:val="single" w:color="auto" w:sz="4" w:space="0"/>
              <w:right w:val="single" w:color="auto" w:sz="4" w:space="0"/>
            </w:tcBorders>
          </w:tcPr>
          <w:p w14:paraId="7EB45387">
            <w:pPr>
              <w:shd w:val="clear"/>
              <w:spacing w:line="460" w:lineRule="exact"/>
              <w:jc w:val="center"/>
              <w:rPr>
                <w:rFonts w:hint="eastAsia" w:ascii="宋体" w:hAnsi="宋体" w:cs="宋体"/>
                <w:bCs/>
                <w:color w:val="auto"/>
                <w:sz w:val="24"/>
                <w:highlight w:val="none"/>
              </w:rPr>
            </w:pPr>
          </w:p>
        </w:tc>
        <w:tc>
          <w:tcPr>
            <w:tcW w:w="543" w:type="pct"/>
            <w:tcBorders>
              <w:top w:val="single" w:color="auto" w:sz="4" w:space="0"/>
              <w:left w:val="single" w:color="auto" w:sz="4" w:space="0"/>
              <w:bottom w:val="single" w:color="auto" w:sz="4" w:space="0"/>
              <w:right w:val="single" w:color="auto" w:sz="4" w:space="0"/>
            </w:tcBorders>
          </w:tcPr>
          <w:p w14:paraId="555770B8">
            <w:pPr>
              <w:shd w:val="clear"/>
              <w:spacing w:line="460" w:lineRule="exact"/>
              <w:jc w:val="center"/>
              <w:rPr>
                <w:rFonts w:hint="eastAsia" w:ascii="宋体" w:hAnsi="宋体" w:cs="宋体"/>
                <w:bCs/>
                <w:color w:val="auto"/>
                <w:sz w:val="24"/>
                <w:highlight w:val="none"/>
              </w:rPr>
            </w:pPr>
          </w:p>
        </w:tc>
        <w:tc>
          <w:tcPr>
            <w:tcW w:w="515" w:type="pct"/>
            <w:tcBorders>
              <w:top w:val="single" w:color="auto" w:sz="4" w:space="0"/>
              <w:left w:val="single" w:color="auto" w:sz="4" w:space="0"/>
              <w:bottom w:val="single" w:color="auto" w:sz="4" w:space="0"/>
              <w:right w:val="single" w:color="auto" w:sz="4" w:space="0"/>
            </w:tcBorders>
          </w:tcPr>
          <w:p w14:paraId="61DDC289">
            <w:pPr>
              <w:shd w:val="clear"/>
              <w:spacing w:line="460" w:lineRule="exact"/>
              <w:jc w:val="center"/>
              <w:rPr>
                <w:rFonts w:hint="eastAsia" w:ascii="宋体" w:hAnsi="宋体" w:cs="宋体"/>
                <w:bCs/>
                <w:color w:val="auto"/>
                <w:sz w:val="24"/>
                <w:highlight w:val="none"/>
              </w:rPr>
            </w:pPr>
          </w:p>
        </w:tc>
        <w:tc>
          <w:tcPr>
            <w:tcW w:w="334" w:type="pct"/>
            <w:tcBorders>
              <w:top w:val="single" w:color="auto" w:sz="4" w:space="0"/>
              <w:left w:val="single" w:color="auto" w:sz="4" w:space="0"/>
              <w:bottom w:val="single" w:color="auto" w:sz="4" w:space="0"/>
              <w:right w:val="single" w:color="auto" w:sz="4" w:space="0"/>
            </w:tcBorders>
          </w:tcPr>
          <w:p w14:paraId="065C232D">
            <w:pPr>
              <w:shd w:val="clear"/>
              <w:spacing w:line="460" w:lineRule="exact"/>
              <w:jc w:val="center"/>
              <w:rPr>
                <w:rFonts w:hint="eastAsia" w:ascii="宋体" w:hAnsi="宋体" w:cs="宋体"/>
                <w:bCs/>
                <w:color w:val="auto"/>
                <w:sz w:val="24"/>
                <w:highlight w:val="none"/>
              </w:rPr>
            </w:pPr>
          </w:p>
        </w:tc>
        <w:tc>
          <w:tcPr>
            <w:tcW w:w="316" w:type="pct"/>
            <w:tcBorders>
              <w:top w:val="single" w:color="auto" w:sz="4" w:space="0"/>
              <w:left w:val="single" w:color="auto" w:sz="4" w:space="0"/>
              <w:bottom w:val="single" w:color="auto" w:sz="4" w:space="0"/>
              <w:right w:val="single" w:color="auto" w:sz="4" w:space="0"/>
            </w:tcBorders>
          </w:tcPr>
          <w:p w14:paraId="4C1E46CC">
            <w:pPr>
              <w:shd w:val="clear"/>
              <w:spacing w:line="460" w:lineRule="exact"/>
              <w:jc w:val="center"/>
              <w:rPr>
                <w:rFonts w:hint="eastAsia" w:ascii="宋体" w:hAnsi="宋体" w:cs="宋体"/>
                <w:bCs/>
                <w:color w:val="auto"/>
                <w:sz w:val="24"/>
                <w:highlight w:val="none"/>
              </w:rPr>
            </w:pPr>
          </w:p>
        </w:tc>
        <w:tc>
          <w:tcPr>
            <w:tcW w:w="378" w:type="pct"/>
            <w:tcBorders>
              <w:top w:val="single" w:color="auto" w:sz="4" w:space="0"/>
              <w:left w:val="single" w:color="auto" w:sz="4" w:space="0"/>
              <w:bottom w:val="single" w:color="auto" w:sz="4" w:space="0"/>
              <w:right w:val="single" w:color="auto" w:sz="4" w:space="0"/>
            </w:tcBorders>
          </w:tcPr>
          <w:p w14:paraId="5BC49857">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762CDDB2">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2EC06472">
            <w:pPr>
              <w:shd w:val="clear"/>
              <w:spacing w:line="460" w:lineRule="exact"/>
              <w:jc w:val="center"/>
              <w:rPr>
                <w:rFonts w:hint="eastAsia" w:ascii="宋体" w:hAnsi="宋体" w:cs="宋体"/>
                <w:bCs/>
                <w:color w:val="auto"/>
                <w:sz w:val="24"/>
                <w:highlight w:val="none"/>
              </w:rPr>
            </w:pPr>
          </w:p>
        </w:tc>
        <w:tc>
          <w:tcPr>
            <w:tcW w:w="594" w:type="pct"/>
            <w:tcBorders>
              <w:top w:val="single" w:color="auto" w:sz="4" w:space="0"/>
              <w:left w:val="single" w:color="auto" w:sz="4" w:space="0"/>
              <w:bottom w:val="single" w:color="auto" w:sz="4" w:space="0"/>
              <w:right w:val="single" w:color="auto" w:sz="4" w:space="0"/>
            </w:tcBorders>
          </w:tcPr>
          <w:p w14:paraId="36237A7F">
            <w:pPr>
              <w:shd w:val="clear"/>
              <w:spacing w:line="460" w:lineRule="exact"/>
              <w:jc w:val="center"/>
              <w:rPr>
                <w:rFonts w:hint="eastAsia" w:ascii="宋体" w:hAnsi="宋体" w:cs="宋体"/>
                <w:bCs/>
                <w:color w:val="auto"/>
                <w:sz w:val="24"/>
                <w:highlight w:val="none"/>
              </w:rPr>
            </w:pPr>
          </w:p>
        </w:tc>
      </w:tr>
      <w:tr w14:paraId="4BCF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48" w:type="pct"/>
            <w:tcBorders>
              <w:top w:val="single" w:color="auto" w:sz="4" w:space="0"/>
              <w:left w:val="single" w:color="auto" w:sz="4" w:space="0"/>
              <w:bottom w:val="single" w:color="auto" w:sz="4" w:space="0"/>
              <w:right w:val="single" w:color="auto" w:sz="4" w:space="0"/>
            </w:tcBorders>
          </w:tcPr>
          <w:p w14:paraId="6B28C09A">
            <w:pPr>
              <w:shd w:val="clear"/>
              <w:spacing w:line="460" w:lineRule="exact"/>
              <w:jc w:val="center"/>
              <w:rPr>
                <w:rFonts w:hint="eastAsia" w:ascii="宋体" w:hAnsi="宋体" w:cs="宋体"/>
                <w:bCs/>
                <w:color w:val="auto"/>
                <w:sz w:val="24"/>
                <w:highlight w:val="none"/>
              </w:rPr>
            </w:pPr>
          </w:p>
        </w:tc>
        <w:tc>
          <w:tcPr>
            <w:tcW w:w="648" w:type="pct"/>
            <w:tcBorders>
              <w:top w:val="single" w:color="auto" w:sz="4" w:space="0"/>
              <w:left w:val="single" w:color="auto" w:sz="4" w:space="0"/>
              <w:bottom w:val="single" w:color="auto" w:sz="4" w:space="0"/>
              <w:right w:val="single" w:color="auto" w:sz="4" w:space="0"/>
            </w:tcBorders>
          </w:tcPr>
          <w:p w14:paraId="02AC44E6">
            <w:pPr>
              <w:shd w:val="clear"/>
              <w:spacing w:line="460" w:lineRule="exact"/>
              <w:jc w:val="center"/>
              <w:rPr>
                <w:rFonts w:hint="eastAsia" w:ascii="宋体" w:hAnsi="宋体" w:cs="宋体"/>
                <w:bCs/>
                <w:color w:val="auto"/>
                <w:sz w:val="24"/>
                <w:highlight w:val="none"/>
              </w:rPr>
            </w:pPr>
          </w:p>
        </w:tc>
        <w:tc>
          <w:tcPr>
            <w:tcW w:w="543" w:type="pct"/>
            <w:tcBorders>
              <w:top w:val="single" w:color="auto" w:sz="4" w:space="0"/>
              <w:left w:val="single" w:color="auto" w:sz="4" w:space="0"/>
              <w:bottom w:val="single" w:color="auto" w:sz="4" w:space="0"/>
              <w:right w:val="single" w:color="auto" w:sz="4" w:space="0"/>
            </w:tcBorders>
          </w:tcPr>
          <w:p w14:paraId="115A0B30">
            <w:pPr>
              <w:shd w:val="clear"/>
              <w:spacing w:line="460" w:lineRule="exact"/>
              <w:jc w:val="center"/>
              <w:rPr>
                <w:rFonts w:hint="eastAsia" w:ascii="宋体" w:hAnsi="宋体" w:cs="宋体"/>
                <w:bCs/>
                <w:color w:val="auto"/>
                <w:sz w:val="24"/>
                <w:highlight w:val="none"/>
              </w:rPr>
            </w:pPr>
          </w:p>
        </w:tc>
        <w:tc>
          <w:tcPr>
            <w:tcW w:w="515" w:type="pct"/>
            <w:tcBorders>
              <w:top w:val="single" w:color="auto" w:sz="4" w:space="0"/>
              <w:left w:val="single" w:color="auto" w:sz="4" w:space="0"/>
              <w:bottom w:val="single" w:color="auto" w:sz="4" w:space="0"/>
              <w:right w:val="single" w:color="auto" w:sz="4" w:space="0"/>
            </w:tcBorders>
          </w:tcPr>
          <w:p w14:paraId="1A833B6B">
            <w:pPr>
              <w:shd w:val="clear"/>
              <w:spacing w:line="460" w:lineRule="exact"/>
              <w:jc w:val="center"/>
              <w:rPr>
                <w:rFonts w:hint="eastAsia" w:ascii="宋体" w:hAnsi="宋体" w:cs="宋体"/>
                <w:bCs/>
                <w:color w:val="auto"/>
                <w:sz w:val="24"/>
                <w:highlight w:val="none"/>
              </w:rPr>
            </w:pPr>
          </w:p>
        </w:tc>
        <w:tc>
          <w:tcPr>
            <w:tcW w:w="334" w:type="pct"/>
            <w:tcBorders>
              <w:top w:val="single" w:color="auto" w:sz="4" w:space="0"/>
              <w:left w:val="single" w:color="auto" w:sz="4" w:space="0"/>
              <w:bottom w:val="single" w:color="auto" w:sz="4" w:space="0"/>
              <w:right w:val="single" w:color="auto" w:sz="4" w:space="0"/>
            </w:tcBorders>
          </w:tcPr>
          <w:p w14:paraId="57714291">
            <w:pPr>
              <w:shd w:val="clear"/>
              <w:spacing w:line="460" w:lineRule="exact"/>
              <w:jc w:val="center"/>
              <w:rPr>
                <w:rFonts w:hint="eastAsia" w:ascii="宋体" w:hAnsi="宋体" w:cs="宋体"/>
                <w:bCs/>
                <w:color w:val="auto"/>
                <w:sz w:val="24"/>
                <w:highlight w:val="none"/>
              </w:rPr>
            </w:pPr>
          </w:p>
        </w:tc>
        <w:tc>
          <w:tcPr>
            <w:tcW w:w="316" w:type="pct"/>
            <w:tcBorders>
              <w:top w:val="single" w:color="auto" w:sz="4" w:space="0"/>
              <w:left w:val="single" w:color="auto" w:sz="4" w:space="0"/>
              <w:bottom w:val="single" w:color="auto" w:sz="4" w:space="0"/>
              <w:right w:val="single" w:color="auto" w:sz="4" w:space="0"/>
            </w:tcBorders>
          </w:tcPr>
          <w:p w14:paraId="558912E5">
            <w:pPr>
              <w:shd w:val="clear"/>
              <w:spacing w:line="460" w:lineRule="exact"/>
              <w:jc w:val="center"/>
              <w:rPr>
                <w:rFonts w:hint="eastAsia" w:ascii="宋体" w:hAnsi="宋体" w:cs="宋体"/>
                <w:bCs/>
                <w:color w:val="auto"/>
                <w:sz w:val="24"/>
                <w:highlight w:val="none"/>
              </w:rPr>
            </w:pPr>
          </w:p>
        </w:tc>
        <w:tc>
          <w:tcPr>
            <w:tcW w:w="378" w:type="pct"/>
            <w:tcBorders>
              <w:top w:val="single" w:color="auto" w:sz="4" w:space="0"/>
              <w:left w:val="single" w:color="auto" w:sz="4" w:space="0"/>
              <w:bottom w:val="single" w:color="auto" w:sz="4" w:space="0"/>
              <w:right w:val="single" w:color="auto" w:sz="4" w:space="0"/>
            </w:tcBorders>
          </w:tcPr>
          <w:p w14:paraId="172411E9">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1337E10C">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3094F114">
            <w:pPr>
              <w:shd w:val="clear"/>
              <w:spacing w:line="460" w:lineRule="exact"/>
              <w:jc w:val="center"/>
              <w:rPr>
                <w:rFonts w:hint="eastAsia" w:ascii="宋体" w:hAnsi="宋体" w:cs="宋体"/>
                <w:bCs/>
                <w:color w:val="auto"/>
                <w:sz w:val="24"/>
                <w:highlight w:val="none"/>
              </w:rPr>
            </w:pPr>
          </w:p>
        </w:tc>
        <w:tc>
          <w:tcPr>
            <w:tcW w:w="594" w:type="pct"/>
            <w:tcBorders>
              <w:top w:val="single" w:color="auto" w:sz="4" w:space="0"/>
              <w:left w:val="single" w:color="auto" w:sz="4" w:space="0"/>
              <w:bottom w:val="single" w:color="auto" w:sz="4" w:space="0"/>
              <w:right w:val="single" w:color="auto" w:sz="4" w:space="0"/>
            </w:tcBorders>
          </w:tcPr>
          <w:p w14:paraId="1CB1A426">
            <w:pPr>
              <w:shd w:val="clear"/>
              <w:spacing w:line="460" w:lineRule="exact"/>
              <w:jc w:val="center"/>
              <w:rPr>
                <w:rFonts w:hint="eastAsia" w:ascii="宋体" w:hAnsi="宋体" w:cs="宋体"/>
                <w:bCs/>
                <w:color w:val="auto"/>
                <w:sz w:val="24"/>
                <w:highlight w:val="none"/>
              </w:rPr>
            </w:pPr>
          </w:p>
        </w:tc>
      </w:tr>
      <w:tr w14:paraId="7024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48" w:type="pct"/>
            <w:tcBorders>
              <w:top w:val="single" w:color="auto" w:sz="4" w:space="0"/>
              <w:left w:val="single" w:color="auto" w:sz="4" w:space="0"/>
              <w:bottom w:val="single" w:color="auto" w:sz="4" w:space="0"/>
              <w:right w:val="single" w:color="auto" w:sz="4" w:space="0"/>
            </w:tcBorders>
          </w:tcPr>
          <w:p w14:paraId="4FF5363E">
            <w:pPr>
              <w:shd w:val="clear"/>
              <w:spacing w:line="460" w:lineRule="exact"/>
              <w:jc w:val="center"/>
              <w:rPr>
                <w:rFonts w:hint="eastAsia" w:ascii="宋体" w:hAnsi="宋体" w:cs="宋体"/>
                <w:bCs/>
                <w:color w:val="auto"/>
                <w:sz w:val="24"/>
                <w:highlight w:val="none"/>
              </w:rPr>
            </w:pPr>
          </w:p>
        </w:tc>
        <w:tc>
          <w:tcPr>
            <w:tcW w:w="648" w:type="pct"/>
            <w:tcBorders>
              <w:top w:val="single" w:color="auto" w:sz="4" w:space="0"/>
              <w:left w:val="single" w:color="auto" w:sz="4" w:space="0"/>
              <w:bottom w:val="single" w:color="auto" w:sz="4" w:space="0"/>
              <w:right w:val="single" w:color="auto" w:sz="4" w:space="0"/>
            </w:tcBorders>
          </w:tcPr>
          <w:p w14:paraId="0F56883D">
            <w:pPr>
              <w:shd w:val="clear"/>
              <w:spacing w:line="460" w:lineRule="exact"/>
              <w:jc w:val="center"/>
              <w:rPr>
                <w:rFonts w:hint="eastAsia" w:ascii="宋体" w:hAnsi="宋体" w:cs="宋体"/>
                <w:bCs/>
                <w:color w:val="auto"/>
                <w:sz w:val="24"/>
                <w:highlight w:val="none"/>
              </w:rPr>
            </w:pPr>
          </w:p>
        </w:tc>
        <w:tc>
          <w:tcPr>
            <w:tcW w:w="543" w:type="pct"/>
            <w:tcBorders>
              <w:top w:val="single" w:color="auto" w:sz="4" w:space="0"/>
              <w:left w:val="single" w:color="auto" w:sz="4" w:space="0"/>
              <w:bottom w:val="single" w:color="auto" w:sz="4" w:space="0"/>
              <w:right w:val="single" w:color="auto" w:sz="4" w:space="0"/>
            </w:tcBorders>
          </w:tcPr>
          <w:p w14:paraId="00DB0EFC">
            <w:pPr>
              <w:shd w:val="clear"/>
              <w:spacing w:line="460" w:lineRule="exact"/>
              <w:jc w:val="center"/>
              <w:rPr>
                <w:rFonts w:hint="eastAsia" w:ascii="宋体" w:hAnsi="宋体" w:cs="宋体"/>
                <w:bCs/>
                <w:color w:val="auto"/>
                <w:sz w:val="24"/>
                <w:highlight w:val="none"/>
              </w:rPr>
            </w:pPr>
          </w:p>
        </w:tc>
        <w:tc>
          <w:tcPr>
            <w:tcW w:w="515" w:type="pct"/>
            <w:tcBorders>
              <w:top w:val="single" w:color="auto" w:sz="4" w:space="0"/>
              <w:left w:val="single" w:color="auto" w:sz="4" w:space="0"/>
              <w:bottom w:val="single" w:color="auto" w:sz="4" w:space="0"/>
              <w:right w:val="single" w:color="auto" w:sz="4" w:space="0"/>
            </w:tcBorders>
          </w:tcPr>
          <w:p w14:paraId="5CFBA50F">
            <w:pPr>
              <w:shd w:val="clear"/>
              <w:spacing w:line="460" w:lineRule="exact"/>
              <w:jc w:val="center"/>
              <w:rPr>
                <w:rFonts w:hint="eastAsia" w:ascii="宋体" w:hAnsi="宋体" w:cs="宋体"/>
                <w:bCs/>
                <w:color w:val="auto"/>
                <w:sz w:val="24"/>
                <w:highlight w:val="none"/>
              </w:rPr>
            </w:pPr>
          </w:p>
        </w:tc>
        <w:tc>
          <w:tcPr>
            <w:tcW w:w="334" w:type="pct"/>
            <w:tcBorders>
              <w:top w:val="single" w:color="auto" w:sz="4" w:space="0"/>
              <w:left w:val="single" w:color="auto" w:sz="4" w:space="0"/>
              <w:bottom w:val="single" w:color="auto" w:sz="4" w:space="0"/>
              <w:right w:val="single" w:color="auto" w:sz="4" w:space="0"/>
            </w:tcBorders>
          </w:tcPr>
          <w:p w14:paraId="27F09690">
            <w:pPr>
              <w:shd w:val="clear"/>
              <w:spacing w:line="460" w:lineRule="exact"/>
              <w:jc w:val="center"/>
              <w:rPr>
                <w:rFonts w:hint="eastAsia" w:ascii="宋体" w:hAnsi="宋体" w:cs="宋体"/>
                <w:bCs/>
                <w:color w:val="auto"/>
                <w:sz w:val="24"/>
                <w:highlight w:val="none"/>
              </w:rPr>
            </w:pPr>
          </w:p>
        </w:tc>
        <w:tc>
          <w:tcPr>
            <w:tcW w:w="316" w:type="pct"/>
            <w:tcBorders>
              <w:top w:val="single" w:color="auto" w:sz="4" w:space="0"/>
              <w:left w:val="single" w:color="auto" w:sz="4" w:space="0"/>
              <w:bottom w:val="single" w:color="auto" w:sz="4" w:space="0"/>
              <w:right w:val="single" w:color="auto" w:sz="4" w:space="0"/>
            </w:tcBorders>
          </w:tcPr>
          <w:p w14:paraId="20EAA5A2">
            <w:pPr>
              <w:shd w:val="clear"/>
              <w:spacing w:line="460" w:lineRule="exact"/>
              <w:jc w:val="center"/>
              <w:rPr>
                <w:rFonts w:hint="eastAsia" w:ascii="宋体" w:hAnsi="宋体" w:cs="宋体"/>
                <w:bCs/>
                <w:color w:val="auto"/>
                <w:sz w:val="24"/>
                <w:highlight w:val="none"/>
              </w:rPr>
            </w:pPr>
          </w:p>
        </w:tc>
        <w:tc>
          <w:tcPr>
            <w:tcW w:w="378" w:type="pct"/>
            <w:tcBorders>
              <w:top w:val="single" w:color="auto" w:sz="4" w:space="0"/>
              <w:left w:val="single" w:color="auto" w:sz="4" w:space="0"/>
              <w:bottom w:val="single" w:color="auto" w:sz="4" w:space="0"/>
              <w:right w:val="single" w:color="auto" w:sz="4" w:space="0"/>
            </w:tcBorders>
          </w:tcPr>
          <w:p w14:paraId="0B7755A1">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7CF30E4A">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4B12612F">
            <w:pPr>
              <w:shd w:val="clear"/>
              <w:spacing w:line="460" w:lineRule="exact"/>
              <w:jc w:val="center"/>
              <w:rPr>
                <w:rFonts w:hint="eastAsia" w:ascii="宋体" w:hAnsi="宋体" w:cs="宋体"/>
                <w:bCs/>
                <w:color w:val="auto"/>
                <w:sz w:val="24"/>
                <w:highlight w:val="none"/>
              </w:rPr>
            </w:pPr>
          </w:p>
        </w:tc>
        <w:tc>
          <w:tcPr>
            <w:tcW w:w="594" w:type="pct"/>
            <w:tcBorders>
              <w:top w:val="single" w:color="auto" w:sz="4" w:space="0"/>
              <w:left w:val="single" w:color="auto" w:sz="4" w:space="0"/>
              <w:bottom w:val="single" w:color="auto" w:sz="4" w:space="0"/>
              <w:right w:val="single" w:color="auto" w:sz="4" w:space="0"/>
            </w:tcBorders>
          </w:tcPr>
          <w:p w14:paraId="11350459">
            <w:pPr>
              <w:shd w:val="clear"/>
              <w:spacing w:line="460" w:lineRule="exact"/>
              <w:jc w:val="center"/>
              <w:rPr>
                <w:rFonts w:hint="eastAsia" w:ascii="宋体" w:hAnsi="宋体" w:cs="宋体"/>
                <w:bCs/>
                <w:color w:val="auto"/>
                <w:sz w:val="24"/>
                <w:highlight w:val="none"/>
              </w:rPr>
            </w:pPr>
          </w:p>
        </w:tc>
      </w:tr>
      <w:tr w14:paraId="65D7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48" w:type="pct"/>
            <w:tcBorders>
              <w:top w:val="single" w:color="auto" w:sz="4" w:space="0"/>
              <w:left w:val="single" w:color="auto" w:sz="4" w:space="0"/>
              <w:bottom w:val="single" w:color="auto" w:sz="4" w:space="0"/>
              <w:right w:val="single" w:color="auto" w:sz="4" w:space="0"/>
            </w:tcBorders>
          </w:tcPr>
          <w:p w14:paraId="3D0B1348">
            <w:pPr>
              <w:shd w:val="clear"/>
              <w:spacing w:line="460" w:lineRule="exact"/>
              <w:jc w:val="center"/>
              <w:rPr>
                <w:rStyle w:val="86"/>
                <w:rFonts w:hint="eastAsia"/>
                <w:color w:val="auto"/>
                <w:sz w:val="24"/>
                <w:szCs w:val="24"/>
                <w:highlight w:val="none"/>
                <w:lang w:val="en-US"/>
              </w:rPr>
            </w:pPr>
          </w:p>
        </w:tc>
        <w:tc>
          <w:tcPr>
            <w:tcW w:w="648" w:type="pct"/>
            <w:tcBorders>
              <w:top w:val="single" w:color="auto" w:sz="4" w:space="0"/>
              <w:left w:val="single" w:color="auto" w:sz="4" w:space="0"/>
              <w:bottom w:val="single" w:color="auto" w:sz="4" w:space="0"/>
              <w:right w:val="single" w:color="auto" w:sz="4" w:space="0"/>
            </w:tcBorders>
          </w:tcPr>
          <w:p w14:paraId="7E517593">
            <w:pPr>
              <w:shd w:val="clear"/>
              <w:spacing w:line="460" w:lineRule="exact"/>
              <w:jc w:val="center"/>
              <w:rPr>
                <w:rFonts w:hint="eastAsia" w:ascii="宋体" w:hAnsi="宋体" w:cs="宋体"/>
                <w:bCs/>
                <w:color w:val="auto"/>
                <w:sz w:val="24"/>
                <w:highlight w:val="none"/>
              </w:rPr>
            </w:pPr>
          </w:p>
        </w:tc>
        <w:tc>
          <w:tcPr>
            <w:tcW w:w="543" w:type="pct"/>
            <w:tcBorders>
              <w:top w:val="single" w:color="auto" w:sz="4" w:space="0"/>
              <w:left w:val="single" w:color="auto" w:sz="4" w:space="0"/>
              <w:bottom w:val="single" w:color="auto" w:sz="4" w:space="0"/>
              <w:right w:val="single" w:color="auto" w:sz="4" w:space="0"/>
            </w:tcBorders>
          </w:tcPr>
          <w:p w14:paraId="21C9E30B">
            <w:pPr>
              <w:shd w:val="clear"/>
              <w:spacing w:line="460" w:lineRule="exact"/>
              <w:jc w:val="center"/>
              <w:rPr>
                <w:rFonts w:hint="eastAsia" w:ascii="宋体" w:hAnsi="宋体" w:cs="宋体"/>
                <w:bCs/>
                <w:color w:val="auto"/>
                <w:sz w:val="24"/>
                <w:highlight w:val="none"/>
              </w:rPr>
            </w:pPr>
          </w:p>
        </w:tc>
        <w:tc>
          <w:tcPr>
            <w:tcW w:w="515" w:type="pct"/>
            <w:tcBorders>
              <w:top w:val="single" w:color="auto" w:sz="4" w:space="0"/>
              <w:left w:val="single" w:color="auto" w:sz="4" w:space="0"/>
              <w:bottom w:val="single" w:color="auto" w:sz="4" w:space="0"/>
              <w:right w:val="single" w:color="auto" w:sz="4" w:space="0"/>
            </w:tcBorders>
          </w:tcPr>
          <w:p w14:paraId="3DE71C6B">
            <w:pPr>
              <w:shd w:val="clear"/>
              <w:spacing w:line="460" w:lineRule="exact"/>
              <w:jc w:val="center"/>
              <w:rPr>
                <w:rFonts w:hint="eastAsia" w:ascii="宋体" w:hAnsi="宋体" w:cs="宋体"/>
                <w:bCs/>
                <w:color w:val="auto"/>
                <w:sz w:val="24"/>
                <w:highlight w:val="none"/>
              </w:rPr>
            </w:pPr>
          </w:p>
        </w:tc>
        <w:tc>
          <w:tcPr>
            <w:tcW w:w="334" w:type="pct"/>
            <w:tcBorders>
              <w:top w:val="single" w:color="auto" w:sz="4" w:space="0"/>
              <w:left w:val="single" w:color="auto" w:sz="4" w:space="0"/>
              <w:bottom w:val="single" w:color="auto" w:sz="4" w:space="0"/>
              <w:right w:val="single" w:color="auto" w:sz="4" w:space="0"/>
            </w:tcBorders>
          </w:tcPr>
          <w:p w14:paraId="0389E294">
            <w:pPr>
              <w:shd w:val="clear"/>
              <w:spacing w:line="460" w:lineRule="exact"/>
              <w:jc w:val="center"/>
              <w:rPr>
                <w:rFonts w:hint="eastAsia" w:ascii="宋体" w:hAnsi="宋体" w:cs="宋体"/>
                <w:bCs/>
                <w:color w:val="auto"/>
                <w:sz w:val="24"/>
                <w:highlight w:val="none"/>
              </w:rPr>
            </w:pPr>
          </w:p>
        </w:tc>
        <w:tc>
          <w:tcPr>
            <w:tcW w:w="316" w:type="pct"/>
            <w:tcBorders>
              <w:top w:val="single" w:color="auto" w:sz="4" w:space="0"/>
              <w:left w:val="single" w:color="auto" w:sz="4" w:space="0"/>
              <w:bottom w:val="single" w:color="auto" w:sz="4" w:space="0"/>
              <w:right w:val="single" w:color="auto" w:sz="4" w:space="0"/>
            </w:tcBorders>
          </w:tcPr>
          <w:p w14:paraId="268BD74B">
            <w:pPr>
              <w:shd w:val="clear"/>
              <w:spacing w:line="460" w:lineRule="exact"/>
              <w:jc w:val="center"/>
              <w:rPr>
                <w:rFonts w:hint="eastAsia" w:ascii="宋体" w:hAnsi="宋体" w:cs="宋体"/>
                <w:bCs/>
                <w:color w:val="auto"/>
                <w:sz w:val="24"/>
                <w:highlight w:val="none"/>
              </w:rPr>
            </w:pPr>
          </w:p>
        </w:tc>
        <w:tc>
          <w:tcPr>
            <w:tcW w:w="378" w:type="pct"/>
            <w:tcBorders>
              <w:top w:val="single" w:color="auto" w:sz="4" w:space="0"/>
              <w:left w:val="single" w:color="auto" w:sz="4" w:space="0"/>
              <w:bottom w:val="single" w:color="auto" w:sz="4" w:space="0"/>
              <w:right w:val="single" w:color="auto" w:sz="4" w:space="0"/>
            </w:tcBorders>
          </w:tcPr>
          <w:p w14:paraId="432521DE">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26E7593B">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12C564E8">
            <w:pPr>
              <w:shd w:val="clear"/>
              <w:spacing w:line="460" w:lineRule="exact"/>
              <w:jc w:val="center"/>
              <w:rPr>
                <w:rFonts w:hint="eastAsia" w:ascii="宋体" w:hAnsi="宋体" w:cs="宋体"/>
                <w:bCs/>
                <w:color w:val="auto"/>
                <w:sz w:val="24"/>
                <w:highlight w:val="none"/>
              </w:rPr>
            </w:pPr>
          </w:p>
        </w:tc>
        <w:tc>
          <w:tcPr>
            <w:tcW w:w="594" w:type="pct"/>
            <w:tcBorders>
              <w:top w:val="single" w:color="auto" w:sz="4" w:space="0"/>
              <w:left w:val="single" w:color="auto" w:sz="4" w:space="0"/>
              <w:bottom w:val="single" w:color="auto" w:sz="4" w:space="0"/>
              <w:right w:val="single" w:color="auto" w:sz="4" w:space="0"/>
            </w:tcBorders>
          </w:tcPr>
          <w:p w14:paraId="38283AA0">
            <w:pPr>
              <w:shd w:val="clear"/>
              <w:spacing w:line="460" w:lineRule="exact"/>
              <w:jc w:val="center"/>
              <w:rPr>
                <w:rFonts w:hint="eastAsia" w:ascii="宋体" w:hAnsi="宋体" w:cs="宋体"/>
                <w:bCs/>
                <w:color w:val="auto"/>
                <w:sz w:val="24"/>
                <w:highlight w:val="none"/>
              </w:rPr>
            </w:pPr>
          </w:p>
        </w:tc>
      </w:tr>
      <w:tr w14:paraId="632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48" w:type="pct"/>
            <w:tcBorders>
              <w:top w:val="single" w:color="auto" w:sz="4" w:space="0"/>
              <w:left w:val="single" w:color="auto" w:sz="4" w:space="0"/>
              <w:bottom w:val="single" w:color="auto" w:sz="4" w:space="0"/>
              <w:right w:val="single" w:color="auto" w:sz="4" w:space="0"/>
            </w:tcBorders>
          </w:tcPr>
          <w:p w14:paraId="7CF257B7">
            <w:pPr>
              <w:shd w:val="clear"/>
              <w:spacing w:line="4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w:t>
            </w:r>
          </w:p>
        </w:tc>
        <w:tc>
          <w:tcPr>
            <w:tcW w:w="648" w:type="pct"/>
            <w:tcBorders>
              <w:top w:val="single" w:color="auto" w:sz="4" w:space="0"/>
              <w:left w:val="single" w:color="auto" w:sz="4" w:space="0"/>
              <w:bottom w:val="single" w:color="auto" w:sz="4" w:space="0"/>
              <w:right w:val="single" w:color="auto" w:sz="4" w:space="0"/>
            </w:tcBorders>
          </w:tcPr>
          <w:p w14:paraId="60118B31">
            <w:pPr>
              <w:shd w:val="clear"/>
              <w:spacing w:line="460" w:lineRule="exact"/>
              <w:jc w:val="center"/>
              <w:rPr>
                <w:rFonts w:hint="eastAsia" w:ascii="宋体" w:hAnsi="宋体" w:cs="宋体"/>
                <w:bCs/>
                <w:color w:val="auto"/>
                <w:sz w:val="24"/>
                <w:highlight w:val="none"/>
              </w:rPr>
            </w:pPr>
          </w:p>
        </w:tc>
        <w:tc>
          <w:tcPr>
            <w:tcW w:w="543" w:type="pct"/>
            <w:tcBorders>
              <w:top w:val="single" w:color="auto" w:sz="4" w:space="0"/>
              <w:left w:val="single" w:color="auto" w:sz="4" w:space="0"/>
              <w:bottom w:val="single" w:color="auto" w:sz="4" w:space="0"/>
              <w:right w:val="single" w:color="auto" w:sz="4" w:space="0"/>
            </w:tcBorders>
          </w:tcPr>
          <w:p w14:paraId="7440D0ED">
            <w:pPr>
              <w:shd w:val="clear"/>
              <w:spacing w:line="460" w:lineRule="exact"/>
              <w:jc w:val="center"/>
              <w:rPr>
                <w:rFonts w:hint="eastAsia" w:ascii="宋体" w:hAnsi="宋体" w:cs="宋体"/>
                <w:bCs/>
                <w:color w:val="auto"/>
                <w:sz w:val="24"/>
                <w:highlight w:val="none"/>
              </w:rPr>
            </w:pPr>
          </w:p>
        </w:tc>
        <w:tc>
          <w:tcPr>
            <w:tcW w:w="515" w:type="pct"/>
            <w:tcBorders>
              <w:top w:val="single" w:color="auto" w:sz="4" w:space="0"/>
              <w:left w:val="single" w:color="auto" w:sz="4" w:space="0"/>
              <w:bottom w:val="single" w:color="auto" w:sz="4" w:space="0"/>
              <w:right w:val="single" w:color="auto" w:sz="4" w:space="0"/>
            </w:tcBorders>
          </w:tcPr>
          <w:p w14:paraId="15273163">
            <w:pPr>
              <w:shd w:val="clear"/>
              <w:spacing w:line="460" w:lineRule="exact"/>
              <w:jc w:val="center"/>
              <w:rPr>
                <w:rFonts w:hint="eastAsia" w:ascii="宋体" w:hAnsi="宋体" w:cs="宋体"/>
                <w:bCs/>
                <w:color w:val="auto"/>
                <w:sz w:val="24"/>
                <w:highlight w:val="none"/>
              </w:rPr>
            </w:pPr>
          </w:p>
        </w:tc>
        <w:tc>
          <w:tcPr>
            <w:tcW w:w="334" w:type="pct"/>
            <w:tcBorders>
              <w:top w:val="single" w:color="auto" w:sz="4" w:space="0"/>
              <w:left w:val="single" w:color="auto" w:sz="4" w:space="0"/>
              <w:bottom w:val="single" w:color="auto" w:sz="4" w:space="0"/>
              <w:right w:val="single" w:color="auto" w:sz="4" w:space="0"/>
            </w:tcBorders>
          </w:tcPr>
          <w:p w14:paraId="34C610EB">
            <w:pPr>
              <w:shd w:val="clear"/>
              <w:spacing w:line="460" w:lineRule="exact"/>
              <w:jc w:val="center"/>
              <w:rPr>
                <w:rFonts w:hint="eastAsia" w:ascii="宋体" w:hAnsi="宋体" w:cs="宋体"/>
                <w:bCs/>
                <w:color w:val="auto"/>
                <w:sz w:val="24"/>
                <w:highlight w:val="none"/>
              </w:rPr>
            </w:pPr>
          </w:p>
        </w:tc>
        <w:tc>
          <w:tcPr>
            <w:tcW w:w="316" w:type="pct"/>
            <w:tcBorders>
              <w:top w:val="single" w:color="auto" w:sz="4" w:space="0"/>
              <w:left w:val="single" w:color="auto" w:sz="4" w:space="0"/>
              <w:bottom w:val="single" w:color="auto" w:sz="4" w:space="0"/>
              <w:right w:val="single" w:color="auto" w:sz="4" w:space="0"/>
            </w:tcBorders>
          </w:tcPr>
          <w:p w14:paraId="05CE2F16">
            <w:pPr>
              <w:shd w:val="clear"/>
              <w:spacing w:line="460" w:lineRule="exact"/>
              <w:jc w:val="center"/>
              <w:rPr>
                <w:rFonts w:hint="eastAsia" w:ascii="宋体" w:hAnsi="宋体" w:cs="宋体"/>
                <w:bCs/>
                <w:color w:val="auto"/>
                <w:sz w:val="24"/>
                <w:highlight w:val="none"/>
              </w:rPr>
            </w:pPr>
          </w:p>
        </w:tc>
        <w:tc>
          <w:tcPr>
            <w:tcW w:w="378" w:type="pct"/>
            <w:tcBorders>
              <w:top w:val="single" w:color="auto" w:sz="4" w:space="0"/>
              <w:left w:val="single" w:color="auto" w:sz="4" w:space="0"/>
              <w:bottom w:val="single" w:color="auto" w:sz="4" w:space="0"/>
              <w:right w:val="single" w:color="auto" w:sz="4" w:space="0"/>
            </w:tcBorders>
          </w:tcPr>
          <w:p w14:paraId="39EB1438">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5573D4BC">
            <w:pPr>
              <w:shd w:val="clear"/>
              <w:spacing w:line="460" w:lineRule="exact"/>
              <w:jc w:val="center"/>
              <w:rPr>
                <w:rFonts w:hint="eastAsia" w:ascii="宋体" w:hAnsi="宋体" w:cs="宋体"/>
                <w:bCs/>
                <w:color w:val="auto"/>
                <w:sz w:val="24"/>
                <w:highlight w:val="none"/>
              </w:rPr>
            </w:pPr>
          </w:p>
        </w:tc>
        <w:tc>
          <w:tcPr>
            <w:tcW w:w="509" w:type="pct"/>
            <w:tcBorders>
              <w:top w:val="single" w:color="auto" w:sz="4" w:space="0"/>
              <w:left w:val="single" w:color="auto" w:sz="4" w:space="0"/>
              <w:bottom w:val="single" w:color="auto" w:sz="4" w:space="0"/>
              <w:right w:val="single" w:color="auto" w:sz="4" w:space="0"/>
            </w:tcBorders>
          </w:tcPr>
          <w:p w14:paraId="731C1AB8">
            <w:pPr>
              <w:shd w:val="clear"/>
              <w:spacing w:line="460" w:lineRule="exact"/>
              <w:jc w:val="center"/>
              <w:rPr>
                <w:rFonts w:hint="eastAsia" w:ascii="宋体" w:hAnsi="宋体" w:cs="宋体"/>
                <w:bCs/>
                <w:color w:val="auto"/>
                <w:sz w:val="24"/>
                <w:highlight w:val="none"/>
              </w:rPr>
            </w:pPr>
          </w:p>
        </w:tc>
        <w:tc>
          <w:tcPr>
            <w:tcW w:w="594" w:type="pct"/>
            <w:tcBorders>
              <w:top w:val="single" w:color="auto" w:sz="4" w:space="0"/>
              <w:left w:val="single" w:color="auto" w:sz="4" w:space="0"/>
              <w:bottom w:val="single" w:color="auto" w:sz="4" w:space="0"/>
              <w:right w:val="single" w:color="auto" w:sz="4" w:space="0"/>
            </w:tcBorders>
          </w:tcPr>
          <w:p w14:paraId="0078EDA0">
            <w:pPr>
              <w:shd w:val="clear"/>
              <w:spacing w:line="460" w:lineRule="exact"/>
              <w:jc w:val="center"/>
              <w:rPr>
                <w:rFonts w:hint="eastAsia" w:ascii="宋体" w:hAnsi="宋体" w:cs="宋体"/>
                <w:bCs/>
                <w:color w:val="auto"/>
                <w:sz w:val="24"/>
                <w:highlight w:val="none"/>
              </w:rPr>
            </w:pPr>
          </w:p>
        </w:tc>
      </w:tr>
      <w:tr w14:paraId="09C2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648" w:type="pct"/>
            <w:tcBorders>
              <w:top w:val="single" w:color="auto" w:sz="4" w:space="0"/>
              <w:left w:val="single" w:color="auto" w:sz="4" w:space="0"/>
              <w:bottom w:val="single" w:color="auto" w:sz="4" w:space="0"/>
              <w:right w:val="single" w:color="auto" w:sz="4" w:space="0"/>
            </w:tcBorders>
          </w:tcPr>
          <w:p w14:paraId="2CC13307">
            <w:pPr>
              <w:shd w:val="clear"/>
              <w:spacing w:line="460" w:lineRule="exact"/>
              <w:rPr>
                <w:rFonts w:hint="eastAsia" w:ascii="宋体" w:hAnsi="宋体" w:cs="宋体"/>
                <w:bCs/>
                <w:color w:val="auto"/>
                <w:sz w:val="24"/>
                <w:highlight w:val="none"/>
              </w:rPr>
            </w:pPr>
            <w:r>
              <w:rPr>
                <w:rFonts w:hint="eastAsia" w:ascii="宋体" w:hAnsi="宋体" w:cs="宋体"/>
                <w:bCs/>
                <w:color w:val="auto"/>
                <w:sz w:val="24"/>
                <w:highlight w:val="none"/>
              </w:rPr>
              <w:t>合计（元）</w:t>
            </w:r>
          </w:p>
        </w:tc>
        <w:tc>
          <w:tcPr>
            <w:tcW w:w="4351" w:type="pct"/>
            <w:gridSpan w:val="9"/>
            <w:tcBorders>
              <w:top w:val="single" w:color="auto" w:sz="4" w:space="0"/>
              <w:left w:val="single" w:color="auto" w:sz="4" w:space="0"/>
              <w:bottom w:val="single" w:color="auto" w:sz="4" w:space="0"/>
              <w:right w:val="single" w:color="auto" w:sz="4" w:space="0"/>
            </w:tcBorders>
          </w:tcPr>
          <w:p w14:paraId="150F78AA">
            <w:pPr>
              <w:shd w:val="clear"/>
              <w:spacing w:line="460" w:lineRule="exact"/>
              <w:rPr>
                <w:rFonts w:hint="eastAsia" w:ascii="宋体" w:hAnsi="宋体" w:cs="宋体"/>
                <w:bCs/>
                <w:color w:val="auto"/>
                <w:sz w:val="24"/>
                <w:highlight w:val="none"/>
              </w:rPr>
            </w:pPr>
            <w:r>
              <w:rPr>
                <w:rFonts w:hint="eastAsia" w:ascii="宋体" w:hAnsi="宋体" w:cs="宋体"/>
                <w:bCs/>
                <w:color w:val="auto"/>
                <w:sz w:val="24"/>
                <w:highlight w:val="none"/>
              </w:rPr>
              <w:t>大写：                                 小写：</w:t>
            </w:r>
          </w:p>
        </w:tc>
      </w:tr>
      <w:tr w14:paraId="746A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trPr>
        <w:tc>
          <w:tcPr>
            <w:tcW w:w="5000" w:type="pct"/>
            <w:gridSpan w:val="10"/>
            <w:tcBorders>
              <w:top w:val="single" w:color="auto" w:sz="4" w:space="0"/>
              <w:left w:val="single" w:color="auto" w:sz="4" w:space="0"/>
              <w:bottom w:val="single" w:color="auto" w:sz="4" w:space="0"/>
              <w:right w:val="single" w:color="auto" w:sz="4" w:space="0"/>
            </w:tcBorders>
          </w:tcPr>
          <w:p w14:paraId="7B40133A">
            <w:pPr>
              <w:keepNext w:val="0"/>
              <w:keepLines w:val="0"/>
              <w:widowControl/>
              <w:suppressLineNumbers w:val="0"/>
              <w:shd w:val="clear"/>
              <w:jc w:val="left"/>
              <w:rPr>
                <w:color w:val="auto"/>
                <w:highlight w:val="none"/>
              </w:rPr>
            </w:pPr>
            <w:r>
              <w:rPr>
                <w:rFonts w:hint="eastAsia" w:ascii="宋体" w:hAnsi="宋体" w:cs="宋体"/>
                <w:b/>
                <w:color w:val="auto"/>
                <w:sz w:val="24"/>
                <w:highlight w:val="none"/>
              </w:rPr>
              <w:t>重要提示：1、本表的每一页须加盖企业印章；2、本表内容涉及有国家标准的产品，须填写名称、品牌、型号及技术参数、报价等（若品牌、型号等填写的与实际不符，按照无效标处理）</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3、供应商可根据需要自行增减表格行数。</w:t>
            </w:r>
          </w:p>
          <w:p w14:paraId="242E4FF3">
            <w:pPr>
              <w:shd w:val="clear"/>
              <w:spacing w:line="460" w:lineRule="exact"/>
              <w:rPr>
                <w:rFonts w:hint="eastAsia" w:ascii="宋体" w:hAnsi="宋体" w:cs="宋体"/>
                <w:bCs/>
                <w:color w:val="auto"/>
                <w:sz w:val="24"/>
                <w:highlight w:val="none"/>
              </w:rPr>
            </w:pPr>
          </w:p>
        </w:tc>
      </w:tr>
    </w:tbl>
    <w:p w14:paraId="0382B10B">
      <w:pPr>
        <w:pStyle w:val="16"/>
        <w:keepNext w:val="0"/>
        <w:keepLines w:val="0"/>
        <w:pageBreakBefore w:val="0"/>
        <w:widowControl w:val="0"/>
        <w:shd w:val="clear"/>
        <w:kinsoku/>
        <w:wordWrap/>
        <w:overflowPunct/>
        <w:topLinePunct w:val="0"/>
        <w:autoSpaceDE/>
        <w:autoSpaceDN/>
        <w:bidi w:val="0"/>
        <w:adjustRightInd w:val="0"/>
        <w:snapToGrid w:val="0"/>
        <w:spacing w:before="196" w:beforeLines="50" w:line="360" w:lineRule="auto"/>
        <w:ind w:firstLine="482" w:firstLineChars="200"/>
        <w:textAlignment w:val="auto"/>
        <w:rPr>
          <w:rFonts w:hint="eastAsia" w:hAnsi="宋体" w:cs="宋体"/>
          <w:b/>
          <w:color w:val="auto"/>
          <w:sz w:val="24"/>
          <w:highlight w:val="none"/>
          <w:lang w:bidi="ar"/>
        </w:rPr>
      </w:pPr>
      <w:r>
        <w:rPr>
          <w:rFonts w:hint="eastAsia" w:hAnsi="宋体"/>
          <w:b/>
          <w:bCs/>
          <w:color w:val="auto"/>
          <w:kern w:val="0"/>
          <w:sz w:val="24"/>
          <w:highlight w:val="none"/>
        </w:rPr>
        <w:t>注：投标供应商在系统进行第二轮报价时，需以附件方式上传第二轮报价表电子版(PDF格式)，未提供第二轮报价表电子版（PDF）的视为无效标处理。</w:t>
      </w:r>
    </w:p>
    <w:p w14:paraId="47CEACD7">
      <w:pPr>
        <w:pStyle w:val="16"/>
        <w:shd w:val="clear"/>
        <w:adjustRightInd w:val="0"/>
        <w:snapToGrid w:val="0"/>
        <w:spacing w:line="360" w:lineRule="auto"/>
        <w:rPr>
          <w:rFonts w:hAnsi="Calibri"/>
          <w:color w:val="auto"/>
          <w:sz w:val="24"/>
          <w:szCs w:val="24"/>
          <w:highlight w:val="none"/>
        </w:rPr>
      </w:pPr>
    </w:p>
    <w:p w14:paraId="5EC996A2">
      <w:pPr>
        <w:pStyle w:val="16"/>
        <w:shd w:val="clear"/>
        <w:adjustRightInd w:val="0"/>
        <w:snapToGrid w:val="0"/>
        <w:spacing w:line="360" w:lineRule="auto"/>
        <w:ind w:firstLine="480" w:firstLineChars="200"/>
        <w:jc w:val="center"/>
        <w:rPr>
          <w:rFonts w:hAnsi="Calibri"/>
          <w:color w:val="auto"/>
          <w:sz w:val="24"/>
          <w:szCs w:val="24"/>
          <w:highlight w:val="none"/>
        </w:rPr>
      </w:pPr>
      <w:r>
        <w:rPr>
          <w:rFonts w:hint="eastAsia" w:hAnsi="Calibri"/>
          <w:color w:val="auto"/>
          <w:sz w:val="24"/>
          <w:szCs w:val="24"/>
          <w:highlight w:val="none"/>
          <w:lang w:val="en-US" w:eastAsia="zh-CN"/>
        </w:rPr>
        <w:t xml:space="preserve">   </w:t>
      </w:r>
      <w:r>
        <w:rPr>
          <w:rFonts w:hint="eastAsia" w:hAnsi="Calibri"/>
          <w:color w:val="auto"/>
          <w:sz w:val="24"/>
          <w:szCs w:val="24"/>
          <w:highlight w:val="none"/>
        </w:rPr>
        <w:t>供应商：（盖章）</w:t>
      </w:r>
    </w:p>
    <w:p w14:paraId="76A4BF95">
      <w:pPr>
        <w:pStyle w:val="16"/>
        <w:shd w:val="clear"/>
        <w:adjustRightInd w:val="0"/>
        <w:snapToGrid w:val="0"/>
        <w:spacing w:line="360" w:lineRule="auto"/>
        <w:ind w:firstLine="480" w:firstLineChars="200"/>
        <w:jc w:val="right"/>
        <w:rPr>
          <w:rFonts w:hAnsi="Calibri"/>
          <w:color w:val="auto"/>
          <w:sz w:val="24"/>
          <w:szCs w:val="24"/>
          <w:highlight w:val="none"/>
        </w:rPr>
      </w:pPr>
      <w:r>
        <w:rPr>
          <w:rFonts w:hint="eastAsia" w:hAnsi="Calibri"/>
          <w:color w:val="auto"/>
          <w:sz w:val="24"/>
          <w:szCs w:val="24"/>
          <w:highlight w:val="none"/>
        </w:rPr>
        <w:t>法定代表人或授权委托代理人：（签字或盖章）</w:t>
      </w:r>
    </w:p>
    <w:p w14:paraId="2956A533">
      <w:pPr>
        <w:pStyle w:val="16"/>
        <w:shd w:val="clear"/>
        <w:adjustRightInd w:val="0"/>
        <w:snapToGrid w:val="0"/>
        <w:spacing w:line="360" w:lineRule="auto"/>
        <w:ind w:firstLine="480" w:firstLineChars="200"/>
        <w:jc w:val="right"/>
        <w:rPr>
          <w:rFonts w:hAnsi="Calibri"/>
          <w:color w:val="auto"/>
          <w:sz w:val="24"/>
          <w:szCs w:val="24"/>
          <w:highlight w:val="none"/>
        </w:rPr>
      </w:pPr>
      <w:r>
        <w:rPr>
          <w:rFonts w:hint="eastAsia" w:hAnsi="Calibri"/>
          <w:color w:val="auto"/>
          <w:sz w:val="24"/>
          <w:szCs w:val="24"/>
          <w:highlight w:val="none"/>
        </w:rPr>
        <w:t>年    月     日</w:t>
      </w:r>
    </w:p>
    <w:p w14:paraId="7C0C68EB">
      <w:pPr>
        <w:pStyle w:val="3"/>
        <w:shd w:val="clear"/>
        <w:spacing w:before="0" w:after="0" w:line="360" w:lineRule="auto"/>
        <w:rPr>
          <w:rFonts w:hint="eastAsia" w:ascii="宋体" w:hAnsi="宋体" w:cs="宋体"/>
          <w:color w:val="auto"/>
          <w:sz w:val="28"/>
          <w:szCs w:val="28"/>
          <w:highlight w:val="none"/>
        </w:rPr>
      </w:pPr>
      <w:bookmarkStart w:id="61" w:name="_Toc25259"/>
      <w:r>
        <w:rPr>
          <w:rFonts w:hint="eastAsia" w:ascii="宋体" w:hAnsi="宋体" w:cs="宋体"/>
          <w:color w:val="auto"/>
          <w:sz w:val="28"/>
          <w:szCs w:val="28"/>
          <w:highlight w:val="none"/>
        </w:rPr>
        <w:t>附件2：</w:t>
      </w:r>
      <w:bookmarkEnd w:id="61"/>
    </w:p>
    <w:p w14:paraId="032205F2">
      <w:pPr>
        <w:shd w:val="clear"/>
        <w:rPr>
          <w:color w:val="auto"/>
          <w:highlight w:val="none"/>
        </w:rPr>
      </w:pPr>
    </w:p>
    <w:p w14:paraId="4B4AD115">
      <w:pPr>
        <w:shd w:val="clear"/>
        <w:spacing w:line="360" w:lineRule="auto"/>
        <w:ind w:firstLine="562" w:firstLineChars="200"/>
        <w:jc w:val="center"/>
        <w:rPr>
          <w:b/>
          <w:bCs/>
          <w:color w:val="auto"/>
          <w:sz w:val="28"/>
          <w:szCs w:val="28"/>
          <w:highlight w:val="none"/>
        </w:rPr>
      </w:pPr>
      <w:r>
        <w:rPr>
          <w:rFonts w:hint="eastAsia"/>
          <w:b/>
          <w:bCs/>
          <w:color w:val="auto"/>
          <w:sz w:val="28"/>
          <w:szCs w:val="28"/>
          <w:highlight w:val="none"/>
        </w:rPr>
        <w:t>法定代表人身份证明</w:t>
      </w:r>
    </w:p>
    <w:p w14:paraId="1043E701">
      <w:pPr>
        <w:shd w:val="clear"/>
        <w:rPr>
          <w:color w:val="auto"/>
          <w:highlight w:val="none"/>
        </w:rPr>
      </w:pPr>
    </w:p>
    <w:p w14:paraId="1801C9B6">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szCs w:val="18"/>
          <w:highlight w:val="none"/>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7A41560">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CD4B794">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79368FA">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D2F3236">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6A610F8">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14:paraId="4BE5BB48">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w:t>
      </w:r>
    </w:p>
    <w:p w14:paraId="474E940B">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特此证明。</w:t>
      </w:r>
    </w:p>
    <w:p w14:paraId="2C925080">
      <w:pPr>
        <w:pStyle w:val="3"/>
        <w:shd w:val="clear"/>
        <w:rPr>
          <w:rFonts w:hint="eastAsia" w:ascii="宋体" w:hAnsi="宋体"/>
          <w:color w:val="auto"/>
          <w:sz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2639060</wp:posOffset>
                </wp:positionH>
                <wp:positionV relativeFrom="paragraph">
                  <wp:posOffset>274955</wp:posOffset>
                </wp:positionV>
                <wp:extent cx="3134360" cy="2235200"/>
                <wp:effectExtent l="4445" t="5080" r="23495" b="7620"/>
                <wp:wrapNone/>
                <wp:docPr id="32" name="自选图形 5"/>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E32BED5"/>
                        </w:txbxContent>
                      </wps:txbx>
                      <wps:bodyPr wrap="square" upright="1"/>
                    </wps:wsp>
                  </a:graphicData>
                </a:graphic>
              </wp:anchor>
            </w:drawing>
          </mc:Choice>
          <mc:Fallback>
            <w:pict>
              <v:shape id="自选图形 5" o:spid="_x0000_s1026" o:spt="176" type="#_x0000_t176" style="position:absolute;left:0pt;margin-left:207.8pt;margin-top:21.65pt;height:176pt;width:246.8pt;z-index:251663360;mso-width-relative:page;mso-height-relative:page;" fillcolor="#FFFFFF" filled="t" stroked="t" coordsize="21600,21600" o:gfxdata="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xZKNgAAAAKAQAADwAAAAAAAAABACAAAAAiAAAAZHJzL2Rvd25yZXYueG1sUEsBAhQAFAAAAAgA&#10;h07iQDVe2L0lAgAAVAQAAA4AAAAAAAAAAQAgAAAAJwEAAGRycy9lMm9Eb2MueG1sUEsFBgAAAAAG&#10;AAYAWQEAAL4FAAAAAA==&#10;">
                <v:fill on="t" focussize="0,0"/>
                <v:stroke color="#000000" joinstyle="miter"/>
                <v:imagedata o:title=""/>
                <o:lock v:ext="edit" aspectratio="f"/>
                <v:textbox>
                  <w:txbxContent>
                    <w:p w14:paraId="1E32BED5"/>
                  </w:txbxContent>
                </v:textbox>
              </v:shape>
            </w:pict>
          </mc:Fallback>
        </mc:AlternateContent>
      </w: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-539750</wp:posOffset>
                </wp:positionH>
                <wp:positionV relativeFrom="paragraph">
                  <wp:posOffset>274955</wp:posOffset>
                </wp:positionV>
                <wp:extent cx="3134360" cy="2235200"/>
                <wp:effectExtent l="4445" t="5080" r="23495" b="7620"/>
                <wp:wrapNone/>
                <wp:docPr id="30" name="自选图形 3"/>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A6F7AA7"/>
                        </w:txbxContent>
                      </wps:txbx>
                      <wps:bodyPr vert="horz" wrap="square" anchor="t" anchorCtr="0" upright="1"/>
                    </wps:wsp>
                  </a:graphicData>
                </a:graphic>
              </wp:anchor>
            </w:drawing>
          </mc:Choice>
          <mc:Fallback>
            <w:pict>
              <v:shape id="自选图形 3" o:spid="_x0000_s1026" o:spt="176" type="#_x0000_t176" style="position:absolute;left:0pt;margin-left:-42.5pt;margin-top:21.65pt;height:176pt;width:246.8pt;z-index:251661312;mso-width-relative:page;mso-height-relative:page;" fillcolor="#FFFFFF" filled="t" stroked="t" coordsize="21600,21600" o:gfxdata="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PULiC2QAAAAoBAAAPAAAAAAAAAAEAIAAAACIAAABkcnMvZG93&#10;bnJldi54bWxQSwECFAAUAAAACACHTuJABsPVcTgCAAB5BAAADgAAAAAAAAABACAAAAAoAQAAZHJz&#10;L2Uyb0RvYy54bWxQSwUGAAAAAAYABgBZAQAA0gUAAAAA&#10;">
                <v:fill on="t" focussize="0,0"/>
                <v:stroke color="#000000" joinstyle="miter"/>
                <v:imagedata o:title=""/>
                <o:lock v:ext="edit" aspectratio="f"/>
                <v:textbox>
                  <w:txbxContent>
                    <w:p w14:paraId="0A6F7AA7"/>
                  </w:txbxContent>
                </v:textbox>
              </v:shape>
            </w:pict>
          </mc:Fallback>
        </mc:AlternateContent>
      </w:r>
    </w:p>
    <w:p w14:paraId="04270490">
      <w:pPr>
        <w:shd w:val="clear"/>
        <w:rPr>
          <w:rFonts w:hint="eastAsia" w:ascii="宋体" w:hAnsi="宋体"/>
          <w:color w:val="auto"/>
          <w:sz w:val="24"/>
          <w:highlight w:val="none"/>
        </w:rPr>
      </w:pPr>
    </w:p>
    <w:p w14:paraId="67E6B56B">
      <w:pPr>
        <w:pStyle w:val="3"/>
        <w:shd w:val="clear"/>
        <w:rPr>
          <w:rFonts w:hint="eastAsia" w:ascii="宋体" w:hAnsi="宋体"/>
          <w:color w:val="auto"/>
          <w:sz w:val="24"/>
          <w:highlight w:val="none"/>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139700</wp:posOffset>
                </wp:positionV>
                <wp:extent cx="2810510" cy="296545"/>
                <wp:effectExtent l="4445" t="4445" r="23495" b="22860"/>
                <wp:wrapNone/>
                <wp:docPr id="31" name="文本框 4"/>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68C8B1">
                            <w:r>
                              <w:rPr>
                                <w:rFonts w:hint="eastAsia" w:ascii="宋体" w:hAnsi="宋体"/>
                                <w:sz w:val="24"/>
                              </w:rPr>
                              <w:t>法定代表人身份证复印件粘贴处（正面）</w:t>
                            </w:r>
                          </w:p>
                        </w:txbxContent>
                      </wps:txbx>
                      <wps:bodyPr vert="horz" wrap="square" anchor="t" anchorCtr="0" upright="1"/>
                    </wps:wsp>
                  </a:graphicData>
                </a:graphic>
              </wp:anchor>
            </w:drawing>
          </mc:Choice>
          <mc:Fallback>
            <w:pict>
              <v:shape id="文本框 4" o:spid="_x0000_s1026" o:spt="202" type="#_x0000_t202" style="position:absolute;left:0pt;margin-left:-32.7pt;margin-top:11pt;height:23.35pt;width:221.3pt;z-index:251662336;mso-width-relative:page;mso-height-relative:page;" fillcolor="#FFFFFF" filled="t" stroked="t" coordsize="21600,21600" o:gfxdata="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59DobZAAAACQEAAA8AAAAAAAAAAQAgAAAAIgAAAGRycy9kb3ducmV2LnhtbFBLAQIU&#10;ABQAAAAIAIdO4kAtTjhQKwIAAGoEAAAOAAAAAAAAAAEAIAAAACgBAABkcnMvZTJvRG9jLnhtbFBL&#10;BQYAAAAABgAGAFkBAADFBQAAAAA=&#10;">
                <v:fill on="t" focussize="0,0"/>
                <v:stroke color="#000000" joinstyle="miter"/>
                <v:imagedata o:title=""/>
                <o:lock v:ext="edit" aspectratio="f"/>
                <v:textbox>
                  <w:txbxContent>
                    <w:p w14:paraId="1768C8B1">
                      <w:r>
                        <w:rPr>
                          <w:rFonts w:hint="eastAsia" w:ascii="宋体" w:hAnsi="宋体"/>
                          <w:sz w:val="24"/>
                        </w:rPr>
                        <w:t>法定代表人身份证复印件粘贴处（正面）</w:t>
                      </w:r>
                    </w:p>
                  </w:txbxContent>
                </v:textbox>
              </v:shape>
            </w:pict>
          </mc:Fallback>
        </mc:AlternateContent>
      </w: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2827655</wp:posOffset>
                </wp:positionH>
                <wp:positionV relativeFrom="paragraph">
                  <wp:posOffset>116205</wp:posOffset>
                </wp:positionV>
                <wp:extent cx="2810510" cy="296545"/>
                <wp:effectExtent l="4445" t="4445" r="23495" b="22860"/>
                <wp:wrapNone/>
                <wp:docPr id="33" name="文本框 6"/>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CD09F2">
                            <w:r>
                              <w:rPr>
                                <w:rFonts w:hint="eastAsia" w:ascii="宋体" w:hAnsi="宋体"/>
                                <w:sz w:val="24"/>
                              </w:rPr>
                              <w:t>法定代表人身份证复印件粘贴处（背面）</w:t>
                            </w:r>
                          </w:p>
                        </w:txbxContent>
                      </wps:txbx>
                      <wps:bodyPr wrap="square" upright="1"/>
                    </wps:wsp>
                  </a:graphicData>
                </a:graphic>
              </wp:anchor>
            </w:drawing>
          </mc:Choice>
          <mc:Fallback>
            <w:pict>
              <v:shape id="文本框 6" o:spid="_x0000_s1026" o:spt="202" type="#_x0000_t202" style="position:absolute;left:0pt;margin-left:222.65pt;margin-top:9.15pt;height:23.35pt;width:221.3pt;z-index:251664384;mso-width-relative:page;mso-height-relative:page;" fillcolor="#FFFFFF" filled="t" stroked="t" coordsize="21600,21600" o:gfxdata="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1pGJjZAAAACQEAAA8A&#10;AAAAAAAAAQAgAAAAIgAAAGRycy9kb3ducmV2LnhtbFBLAQIUABQAAAAIAIdO4kCcacLkFgIAAEUE&#10;AAAOAAAAAAAAAAEAIAAAACgBAABkcnMvZTJvRG9jLnhtbFBLBQYAAAAABgAGAFkBAACwBQAAAAA=&#10;">
                <v:fill on="t" focussize="0,0"/>
                <v:stroke color="#000000" joinstyle="miter"/>
                <v:imagedata o:title=""/>
                <o:lock v:ext="edit" aspectratio="f"/>
                <v:textbox>
                  <w:txbxContent>
                    <w:p w14:paraId="41CD09F2">
                      <w:r>
                        <w:rPr>
                          <w:rFonts w:hint="eastAsia" w:ascii="宋体" w:hAnsi="宋体"/>
                          <w:sz w:val="24"/>
                        </w:rPr>
                        <w:t>法定代表人身份证复印件粘贴处（背面）</w:t>
                      </w:r>
                    </w:p>
                  </w:txbxContent>
                </v:textbox>
              </v:shape>
            </w:pict>
          </mc:Fallback>
        </mc:AlternateContent>
      </w:r>
    </w:p>
    <w:p w14:paraId="18CAB10D">
      <w:pPr>
        <w:shd w:val="clear"/>
        <w:rPr>
          <w:rFonts w:hint="eastAsia" w:ascii="宋体" w:hAnsi="宋体"/>
          <w:color w:val="auto"/>
          <w:sz w:val="24"/>
          <w:highlight w:val="none"/>
        </w:rPr>
      </w:pPr>
    </w:p>
    <w:p w14:paraId="32F6F7C5">
      <w:pPr>
        <w:shd w:val="clear"/>
        <w:spacing w:line="360" w:lineRule="auto"/>
        <w:rPr>
          <w:rFonts w:hint="eastAsia" w:ascii="宋体" w:hAnsi="宋体"/>
          <w:color w:val="auto"/>
          <w:sz w:val="24"/>
          <w:highlight w:val="none"/>
        </w:rPr>
      </w:pPr>
    </w:p>
    <w:p w14:paraId="478C154F">
      <w:pPr>
        <w:shd w:val="clear"/>
        <w:spacing w:line="360" w:lineRule="auto"/>
        <w:rPr>
          <w:rFonts w:hint="eastAsia" w:ascii="宋体" w:hAnsi="宋体"/>
          <w:color w:val="auto"/>
          <w:sz w:val="24"/>
          <w:highlight w:val="none"/>
        </w:rPr>
      </w:pPr>
    </w:p>
    <w:p w14:paraId="641A623F">
      <w:pPr>
        <w:shd w:val="clear"/>
        <w:spacing w:line="360" w:lineRule="auto"/>
        <w:rPr>
          <w:rFonts w:hint="eastAsia" w:ascii="宋体" w:hAnsi="宋体"/>
          <w:color w:val="auto"/>
          <w:sz w:val="24"/>
          <w:highlight w:val="none"/>
        </w:rPr>
      </w:pPr>
      <w:r>
        <w:rPr>
          <w:rFonts w:hint="eastAsia" w:ascii="宋体" w:hAnsi="宋体"/>
          <w:color w:val="auto"/>
          <w:sz w:val="24"/>
          <w:highlight w:val="none"/>
        </w:rPr>
        <w:t>供应商： （盖单位章）</w:t>
      </w:r>
    </w:p>
    <w:p w14:paraId="6337EFF7">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         </w:t>
      </w:r>
    </w:p>
    <w:p w14:paraId="73FDB1D7">
      <w:pPr>
        <w:shd w:val="clear"/>
        <w:spacing w:line="360" w:lineRule="auto"/>
        <w:ind w:firstLine="6480" w:firstLineChars="2700"/>
        <w:rPr>
          <w:rFonts w:hint="eastAsia" w:ascii="宋体" w:hAnsi="宋体"/>
          <w:color w:val="auto"/>
          <w:sz w:val="24"/>
          <w:highlight w:val="none"/>
        </w:rPr>
      </w:pPr>
      <w:r>
        <w:rPr>
          <w:rFonts w:hint="eastAsia" w:ascii="宋体" w:hAnsi="宋体"/>
          <w:color w:val="auto"/>
          <w:sz w:val="24"/>
          <w:highlight w:val="none"/>
        </w:rPr>
        <w:t>年    月     日</w:t>
      </w:r>
    </w:p>
    <w:p w14:paraId="669C8083">
      <w:pPr>
        <w:pStyle w:val="3"/>
        <w:shd w:val="clear"/>
        <w:spacing w:before="0" w:after="0" w:line="360" w:lineRule="auto"/>
        <w:rPr>
          <w:rFonts w:hint="eastAsia" w:ascii="宋体" w:hAnsi="宋体" w:cs="宋体"/>
          <w:color w:val="auto"/>
          <w:highlight w:val="none"/>
        </w:rPr>
      </w:pPr>
      <w:bookmarkStart w:id="62" w:name="_Toc28332"/>
      <w:r>
        <w:rPr>
          <w:rFonts w:hint="eastAsia" w:ascii="宋体" w:hAnsi="宋体" w:cs="宋体"/>
          <w:color w:val="auto"/>
          <w:highlight w:val="none"/>
        </w:rPr>
        <w:t>附件3：</w:t>
      </w:r>
      <w:bookmarkEnd w:id="62"/>
    </w:p>
    <w:p w14:paraId="1CFB01BA">
      <w:pPr>
        <w:shd w:val="clear"/>
        <w:spacing w:line="360" w:lineRule="auto"/>
        <w:jc w:val="center"/>
        <w:rPr>
          <w:b/>
          <w:bCs/>
          <w:color w:val="auto"/>
          <w:sz w:val="28"/>
          <w:szCs w:val="28"/>
          <w:highlight w:val="none"/>
        </w:rPr>
      </w:pPr>
      <w:r>
        <w:rPr>
          <w:rFonts w:hint="eastAsia"/>
          <w:b/>
          <w:bCs/>
          <w:color w:val="auto"/>
          <w:sz w:val="28"/>
          <w:szCs w:val="28"/>
          <w:highlight w:val="none"/>
        </w:rPr>
        <w:t>授权委托书</w:t>
      </w:r>
    </w:p>
    <w:p w14:paraId="647DF1C4">
      <w:pPr>
        <w:shd w:val="clear"/>
        <w:rPr>
          <w:color w:val="auto"/>
          <w:highlight w:val="none"/>
        </w:rPr>
      </w:pPr>
    </w:p>
    <w:p w14:paraId="4EB0EB0E">
      <w:pPr>
        <w:shd w:val="clea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（项目名称）项目响应文件、签订合同和处理有关事宜，其法律后果由我方承担。</w:t>
      </w:r>
    </w:p>
    <w:p w14:paraId="743665C7">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14:paraId="65EB807F">
      <w:pPr>
        <w:shd w:val="clea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代理人无转委托权。</w:t>
      </w:r>
    </w:p>
    <w:p w14:paraId="16AD760F">
      <w:pPr>
        <w:shd w:val="clear"/>
        <w:spacing w:line="360" w:lineRule="auto"/>
        <w:ind w:firstLine="480" w:firstLineChars="200"/>
        <w:rPr>
          <w:rFonts w:hint="eastAsia" w:ascii="宋体" w:hAnsi="宋体"/>
          <w:color w:val="auto"/>
          <w:sz w:val="24"/>
          <w:highlight w:val="none"/>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-447675</wp:posOffset>
                </wp:positionH>
                <wp:positionV relativeFrom="paragraph">
                  <wp:posOffset>151130</wp:posOffset>
                </wp:positionV>
                <wp:extent cx="3134360" cy="2235200"/>
                <wp:effectExtent l="4445" t="5080" r="23495" b="7620"/>
                <wp:wrapNone/>
                <wp:docPr id="34" name="自选图形 7"/>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62CE095"/>
                        </w:txbxContent>
                      </wps:txbx>
                      <wps:bodyPr wrap="square" upright="1"/>
                    </wps:wsp>
                  </a:graphicData>
                </a:graphic>
              </wp:anchor>
            </w:drawing>
          </mc:Choice>
          <mc:Fallback>
            <w:pict>
              <v:shape id="自选图形 7" o:spid="_x0000_s1026" o:spt="176" type="#_x0000_t176" style="position:absolute;left:0pt;margin-left:-35.25pt;margin-top:11.9pt;height:176pt;width:246.8pt;z-index:251665408;mso-width-relative:page;mso-height-relative:page;" fillcolor="#FFFFFF" filled="t" stroked="t" coordsize="21600,21600" o:gfxdata="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g61XZAAAACgEAAA8AAAAAAAAAAQAgAAAAIgAAAGRycy9kb3ducmV2LnhtbFBLAQIUABQAAAAI&#10;AIdO4kATc8MsJQIAAFQEAAAOAAAAAAAAAAEAIAAAACgBAABkcnMvZTJvRG9jLnhtbFBLBQYAAAAA&#10;BgAGAFkBAAC/BQAAAAA=&#10;">
                <v:fill on="t" focussize="0,0"/>
                <v:stroke color="#000000" joinstyle="miter"/>
                <v:imagedata o:title=""/>
                <o:lock v:ext="edit" aspectratio="f"/>
                <v:textbox>
                  <w:txbxContent>
                    <w:p w14:paraId="062CE095"/>
                  </w:txbxContent>
                </v:textbox>
              </v:shape>
            </w:pict>
          </mc:Fallback>
        </mc:AlternateContent>
      </w: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2695575</wp:posOffset>
                </wp:positionH>
                <wp:positionV relativeFrom="paragraph">
                  <wp:posOffset>179705</wp:posOffset>
                </wp:positionV>
                <wp:extent cx="3134360" cy="2235200"/>
                <wp:effectExtent l="4445" t="5080" r="23495" b="7620"/>
                <wp:wrapNone/>
                <wp:docPr id="35" name="自选图形 8"/>
                <wp:cNvGraphicFramePr/>
                <a:graphic xmlns:a="http://schemas.openxmlformats.org/drawingml/2006/main">
                  <a:graphicData uri="http://schemas.microsoft.com/office/word/2010/wordprocessingShape">
                    <wps:wsp>
                      <wps:cNvSpPr/>
                      <wps:spPr>
                        <a:xfrm>
                          <a:off x="0" y="0"/>
                          <a:ext cx="3134360" cy="2235200"/>
                        </a:xfrm>
                        <a:prstGeom prst="flowChartAlternateProcess">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shape id="自选图形 8" o:spid="_x0000_s1026" o:spt="176" type="#_x0000_t176" style="position:absolute;left:0pt;margin-left:212.25pt;margin-top:14.15pt;height:176pt;width:246.8pt;z-index:251666432;mso-width-relative:page;mso-height-relative:page;" fillcolor="#FFFFFF" filled="t" stroked="t" coordsize="21600,21600" o:gfxdata="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3P97zZ&#10;AAAACgEAAA8AAAAAAAAAAQAgAAAAIgAAAGRycy9kb3ducmV2LnhtbFBLAQIUABQAAAAIAIdO4kAa&#10;DC+MHwIAAEkEAAAOAAAAAAAAAAEAIAAAACgBAABkcnMvZTJvRG9jLnhtbFBLBQYAAAAABgAGAFkB&#10;AAC5BQAAAAA=&#10;">
                <v:fill on="t" focussize="0,0"/>
                <v:stroke color="#000000" joinstyle="miter"/>
                <v:imagedata o:title=""/>
                <o:lock v:ext="edit" aspectratio="f"/>
              </v:shape>
            </w:pict>
          </mc:Fallback>
        </mc:AlternateContent>
      </w:r>
    </w:p>
    <w:p w14:paraId="1796E2D6">
      <w:pPr>
        <w:shd w:val="clear"/>
        <w:spacing w:line="360" w:lineRule="auto"/>
        <w:ind w:firstLine="480" w:firstLineChars="200"/>
        <w:rPr>
          <w:rFonts w:hint="eastAsia" w:ascii="宋体" w:hAnsi="宋体"/>
          <w:color w:val="auto"/>
          <w:sz w:val="24"/>
          <w:highlight w:val="none"/>
        </w:rPr>
      </w:pPr>
    </w:p>
    <w:p w14:paraId="1288E6DD">
      <w:pPr>
        <w:shd w:val="clear"/>
        <w:spacing w:line="360" w:lineRule="auto"/>
        <w:ind w:firstLine="480" w:firstLineChars="200"/>
        <w:jc w:val="left"/>
        <w:rPr>
          <w:rFonts w:hint="eastAsia" w:ascii="宋体" w:hAnsi="宋体"/>
          <w:color w:val="auto"/>
          <w:sz w:val="24"/>
          <w:highlight w:val="none"/>
        </w:rPr>
      </w:pPr>
    </w:p>
    <w:p w14:paraId="290D6BD3">
      <w:pPr>
        <w:shd w:val="clear"/>
        <w:spacing w:line="360" w:lineRule="auto"/>
        <w:ind w:firstLine="480" w:firstLineChars="200"/>
        <w:jc w:val="left"/>
        <w:rPr>
          <w:rFonts w:hint="eastAsia" w:ascii="宋体" w:hAnsi="宋体"/>
          <w:color w:val="auto"/>
          <w:sz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-265430</wp:posOffset>
                </wp:positionH>
                <wp:positionV relativeFrom="paragraph">
                  <wp:posOffset>273050</wp:posOffset>
                </wp:positionV>
                <wp:extent cx="2810510" cy="296545"/>
                <wp:effectExtent l="4445" t="4445" r="23495" b="22860"/>
                <wp:wrapNone/>
                <wp:docPr id="36" name="文本框 9"/>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386353">
                            <w:r>
                              <w:rPr>
                                <w:rFonts w:hint="eastAsia" w:ascii="宋体" w:hAnsi="宋体"/>
                                <w:sz w:val="24"/>
                              </w:rPr>
                              <w:t>委托代理人身份证复印件粘贴处（正面）</w:t>
                            </w:r>
                          </w:p>
                        </w:txbxContent>
                      </wps:txbx>
                      <wps:bodyPr wrap="square" upright="1"/>
                    </wps:wsp>
                  </a:graphicData>
                </a:graphic>
              </wp:anchor>
            </w:drawing>
          </mc:Choice>
          <mc:Fallback>
            <w:pict>
              <v:shape id="文本框 9" o:spid="_x0000_s1026" o:spt="202" type="#_x0000_t202" style="position:absolute;left:0pt;margin-left:-20.9pt;margin-top:21.5pt;height:23.35pt;width:221.3pt;z-index:251667456;mso-width-relative:page;mso-height-relative:page;" fillcolor="#FFFFFF" filled="t" stroked="t" coordsize="21600,21600" o:gfxdata="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VplJ2AAAAAkBAAAPAAAA&#10;AAAAAAEAIAAAACIAAABkcnMvZG93bnJldi54bWxQSwECFAAUAAAACACHTuJAP1sOMRUCAABFBAAA&#10;DgAAAAAAAAABACAAAAAnAQAAZHJzL2Uyb0RvYy54bWxQSwUGAAAAAAYABgBZAQAArgUAAAAA&#10;">
                <v:fill on="t" focussize="0,0"/>
                <v:stroke color="#000000" joinstyle="miter"/>
                <v:imagedata o:title=""/>
                <o:lock v:ext="edit" aspectratio="f"/>
                <v:textbox>
                  <w:txbxContent>
                    <w:p w14:paraId="46386353">
                      <w:r>
                        <w:rPr>
                          <w:rFonts w:hint="eastAsia" w:ascii="宋体" w:hAnsi="宋体"/>
                          <w:sz w:val="24"/>
                        </w:rPr>
                        <w:t>委托代理人身份证复印件粘贴处（正面）</w:t>
                      </w:r>
                    </w:p>
                  </w:txbxContent>
                </v:textbox>
              </v:shape>
            </w:pict>
          </mc:Fallback>
        </mc:AlternateContent>
      </w: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2825115</wp:posOffset>
                </wp:positionH>
                <wp:positionV relativeFrom="paragraph">
                  <wp:posOffset>234950</wp:posOffset>
                </wp:positionV>
                <wp:extent cx="2810510" cy="296545"/>
                <wp:effectExtent l="4445" t="4445" r="23495" b="22860"/>
                <wp:wrapNone/>
                <wp:docPr id="37" name="文本框 10"/>
                <wp:cNvGraphicFramePr/>
                <a:graphic xmlns:a="http://schemas.openxmlformats.org/drawingml/2006/main">
                  <a:graphicData uri="http://schemas.microsoft.com/office/word/2010/wordprocessingShape">
                    <wps:wsp>
                      <wps:cNvSpPr txBox="1"/>
                      <wps:spPr>
                        <a:xfrm>
                          <a:off x="0" y="0"/>
                          <a:ext cx="281051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A10F73">
                            <w:r>
                              <w:rPr>
                                <w:rFonts w:hint="eastAsia" w:ascii="宋体" w:hAnsi="宋体"/>
                                <w:sz w:val="24"/>
                              </w:rPr>
                              <w:t>委托代理人身份证复印件粘贴处（背面）</w:t>
                            </w:r>
                          </w:p>
                        </w:txbxContent>
                      </wps:txbx>
                      <wps:bodyPr wrap="square" upright="1"/>
                    </wps:wsp>
                  </a:graphicData>
                </a:graphic>
              </wp:anchor>
            </w:drawing>
          </mc:Choice>
          <mc:Fallback>
            <w:pict>
              <v:shape id="文本框 10" o:spid="_x0000_s1026" o:spt="202" type="#_x0000_t202" style="position:absolute;left:0pt;margin-left:222.45pt;margin-top:18.5pt;height:23.35pt;width:221.3pt;z-index:251668480;mso-width-relative:page;mso-height-relative:page;" fillcolor="#FFFFFF" filled="t" stroked="t" coordsize="21600,21600" o:gfxdata="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xHrF9kAAAAJAQAADwAA&#10;AAAAAAABACAAAAAiAAAAZHJzL2Rvd25yZXYueG1sUEsBAhQAFAAAAAgAh07iQELMlngVAgAARgQA&#10;AA4AAAAAAAAAAQAgAAAAKAEAAGRycy9lMm9Eb2MueG1sUEsFBgAAAAAGAAYAWQEAAK8FAAAAAA==&#10;">
                <v:fill on="t" focussize="0,0"/>
                <v:stroke color="#000000" joinstyle="miter"/>
                <v:imagedata o:title=""/>
                <o:lock v:ext="edit" aspectratio="f"/>
                <v:textbox>
                  <w:txbxContent>
                    <w:p w14:paraId="52A10F73">
                      <w:r>
                        <w:rPr>
                          <w:rFonts w:hint="eastAsia" w:ascii="宋体" w:hAnsi="宋体"/>
                          <w:sz w:val="24"/>
                        </w:rPr>
                        <w:t>委托代理人身份证复印件粘贴处（背面）</w:t>
                      </w:r>
                    </w:p>
                  </w:txbxContent>
                </v:textbox>
              </v:shape>
            </w:pict>
          </mc:Fallback>
        </mc:AlternateContent>
      </w:r>
    </w:p>
    <w:p w14:paraId="02EE58B2">
      <w:pPr>
        <w:shd w:val="clear"/>
        <w:spacing w:line="360" w:lineRule="auto"/>
        <w:ind w:firstLine="480" w:firstLineChars="200"/>
        <w:jc w:val="left"/>
        <w:rPr>
          <w:rFonts w:hint="eastAsia" w:ascii="宋体" w:hAnsi="宋体"/>
          <w:color w:val="auto"/>
          <w:sz w:val="24"/>
          <w:highlight w:val="none"/>
        </w:rPr>
      </w:pPr>
    </w:p>
    <w:p w14:paraId="0CCD4C61">
      <w:pPr>
        <w:shd w:val="clear"/>
        <w:spacing w:line="360" w:lineRule="auto"/>
        <w:ind w:firstLine="480" w:firstLineChars="200"/>
        <w:jc w:val="left"/>
        <w:rPr>
          <w:rFonts w:hint="eastAsia" w:ascii="宋体" w:hAnsi="宋体"/>
          <w:color w:val="auto"/>
          <w:sz w:val="24"/>
          <w:highlight w:val="none"/>
        </w:rPr>
      </w:pPr>
    </w:p>
    <w:p w14:paraId="3AF7E30F">
      <w:pPr>
        <w:shd w:val="clear"/>
        <w:spacing w:line="360" w:lineRule="auto"/>
        <w:ind w:firstLine="480" w:firstLineChars="200"/>
        <w:jc w:val="left"/>
        <w:rPr>
          <w:rFonts w:hint="eastAsia" w:ascii="宋体" w:hAnsi="宋体"/>
          <w:color w:val="auto"/>
          <w:sz w:val="24"/>
          <w:highlight w:val="none"/>
        </w:rPr>
      </w:pPr>
    </w:p>
    <w:p w14:paraId="52CE7B4C">
      <w:pPr>
        <w:shd w:val="clear"/>
        <w:spacing w:line="360" w:lineRule="auto"/>
        <w:jc w:val="left"/>
        <w:rPr>
          <w:rFonts w:hint="eastAsia" w:ascii="宋体" w:hAnsi="宋体"/>
          <w:color w:val="auto"/>
          <w:sz w:val="24"/>
          <w:highlight w:val="none"/>
        </w:rPr>
      </w:pPr>
    </w:p>
    <w:p w14:paraId="565D00C1">
      <w:pPr>
        <w:shd w:val="clear"/>
        <w:spacing w:line="360" w:lineRule="auto"/>
        <w:jc w:val="left"/>
        <w:rPr>
          <w:rFonts w:hint="eastAsia" w:ascii="宋体" w:hAnsi="宋体"/>
          <w:color w:val="auto"/>
          <w:sz w:val="24"/>
          <w:highlight w:val="none"/>
        </w:rPr>
      </w:pPr>
      <w:r>
        <w:rPr>
          <w:rFonts w:hint="eastAsia" w:ascii="宋体" w:hAnsi="宋体"/>
          <w:color w:val="auto"/>
          <w:sz w:val="24"/>
          <w:highlight w:val="none"/>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（盖单位公章） </w:t>
      </w:r>
    </w:p>
    <w:p w14:paraId="48F2C667">
      <w:pPr>
        <w:shd w:val="clea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24B2328A">
      <w:pPr>
        <w:shd w:val="clear"/>
        <w:spacing w:line="360" w:lineRule="auto"/>
        <w:jc w:val="left"/>
        <w:rPr>
          <w:rFonts w:hint="eastAsia"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（签字或盖章）</w:t>
      </w:r>
    </w:p>
    <w:p w14:paraId="634998CB">
      <w:pPr>
        <w:shd w:val="clear"/>
        <w:spacing w:line="360" w:lineRule="auto"/>
        <w:ind w:firstLine="5040" w:firstLineChars="2100"/>
        <w:rPr>
          <w:rFonts w:hint="eastAsia" w:ascii="宋体" w:hAnsi="宋体"/>
          <w:color w:val="auto"/>
          <w:sz w:val="24"/>
          <w:highlight w:val="none"/>
        </w:rPr>
      </w:pPr>
    </w:p>
    <w:p w14:paraId="19779A96">
      <w:pPr>
        <w:shd w:val="clear"/>
        <w:spacing w:line="360" w:lineRule="auto"/>
        <w:ind w:firstLine="5040" w:firstLineChars="2100"/>
        <w:rPr>
          <w:rFonts w:hint="eastAsia"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C72231E">
      <w:pPr>
        <w:widowControl/>
        <w:shd w:val="clear"/>
        <w:spacing w:line="360" w:lineRule="auto"/>
        <w:jc w:val="left"/>
        <w:rPr>
          <w:rFonts w:hint="eastAsia" w:ascii="宋体" w:hAnsi="宋体"/>
          <w:b/>
          <w:color w:val="auto"/>
          <w:sz w:val="28"/>
          <w:szCs w:val="28"/>
          <w:highlight w:val="none"/>
        </w:rPr>
      </w:pPr>
    </w:p>
    <w:p w14:paraId="61B9F955">
      <w:pPr>
        <w:widowControl/>
        <w:shd w:val="clear"/>
        <w:spacing w:line="360" w:lineRule="auto"/>
        <w:jc w:val="left"/>
        <w:rPr>
          <w:rFonts w:hint="eastAsia" w:ascii="宋体" w:hAnsi="宋体"/>
          <w:b/>
          <w:color w:val="auto"/>
          <w:sz w:val="28"/>
          <w:szCs w:val="28"/>
          <w:highlight w:val="none"/>
        </w:rPr>
      </w:pPr>
      <w:r>
        <w:rPr>
          <w:rFonts w:hint="eastAsia" w:ascii="宋体" w:hAnsi="宋体"/>
          <w:b/>
          <w:color w:val="auto"/>
          <w:sz w:val="28"/>
          <w:szCs w:val="28"/>
          <w:highlight w:val="none"/>
        </w:rPr>
        <w:t>附件4：</w:t>
      </w:r>
    </w:p>
    <w:p w14:paraId="369F1E00">
      <w:pPr>
        <w:shd w:val="clear"/>
        <w:spacing w:line="360" w:lineRule="auto"/>
        <w:jc w:val="center"/>
        <w:rPr>
          <w:b/>
          <w:bCs/>
          <w:color w:val="auto"/>
          <w:sz w:val="28"/>
          <w:szCs w:val="28"/>
          <w:highlight w:val="none"/>
        </w:rPr>
      </w:pPr>
      <w:r>
        <w:rPr>
          <w:rFonts w:hint="eastAsia"/>
          <w:b/>
          <w:bCs/>
          <w:color w:val="auto"/>
          <w:sz w:val="28"/>
          <w:szCs w:val="28"/>
          <w:highlight w:val="none"/>
        </w:rPr>
        <w:t>供应商的资格证明承诺函</w:t>
      </w:r>
    </w:p>
    <w:p w14:paraId="114EC3F7">
      <w:pPr>
        <w:shd w:val="clear"/>
        <w:rPr>
          <w:color w:val="auto"/>
          <w:highlight w:val="none"/>
        </w:rPr>
      </w:pPr>
    </w:p>
    <w:p w14:paraId="15C085AB">
      <w:pPr>
        <w:widowControl/>
        <w:shd w:val="clear"/>
        <w:spacing w:line="360" w:lineRule="auto"/>
        <w:jc w:val="left"/>
        <w:rPr>
          <w:rFonts w:hint="eastAsia" w:ascii="宋体" w:hAnsi="宋体"/>
          <w:color w:val="auto"/>
          <w:sz w:val="24"/>
          <w:szCs w:val="21"/>
          <w:highlight w:val="none"/>
        </w:rPr>
      </w:pPr>
      <w:r>
        <w:rPr>
          <w:rFonts w:hint="eastAsia" w:ascii="宋体" w:hAnsi="宋体"/>
          <w:color w:val="auto"/>
          <w:sz w:val="24"/>
          <w:szCs w:val="21"/>
          <w:highlight w:val="none"/>
        </w:rPr>
        <w:t xml:space="preserve">致 (采购人)：_________________________________ </w:t>
      </w:r>
    </w:p>
    <w:p w14:paraId="15D4A7AC">
      <w:pPr>
        <w:widowControl/>
        <w:shd w:val="clear"/>
        <w:spacing w:line="360" w:lineRule="auto"/>
        <w:jc w:val="left"/>
        <w:rPr>
          <w:rFonts w:hint="eastAsia" w:ascii="宋体" w:hAnsi="宋体"/>
          <w:color w:val="auto"/>
          <w:sz w:val="24"/>
          <w:szCs w:val="21"/>
          <w:highlight w:val="none"/>
        </w:rPr>
      </w:pPr>
      <w:r>
        <w:rPr>
          <w:rFonts w:hint="eastAsia" w:ascii="宋体" w:hAnsi="宋体"/>
          <w:color w:val="auto"/>
          <w:sz w:val="24"/>
          <w:szCs w:val="21"/>
          <w:highlight w:val="none"/>
        </w:rPr>
        <w:t>供应商名称： _________________________________</w:t>
      </w:r>
    </w:p>
    <w:p w14:paraId="1A312DF4">
      <w:pPr>
        <w:widowControl/>
        <w:shd w:val="clear"/>
        <w:spacing w:line="360" w:lineRule="auto"/>
        <w:jc w:val="left"/>
        <w:rPr>
          <w:rFonts w:hint="eastAsia" w:ascii="宋体" w:hAnsi="宋体"/>
          <w:color w:val="auto"/>
          <w:sz w:val="24"/>
          <w:szCs w:val="21"/>
          <w:highlight w:val="none"/>
        </w:rPr>
      </w:pPr>
      <w:r>
        <w:rPr>
          <w:rFonts w:hint="eastAsia" w:ascii="宋体" w:hAnsi="宋体"/>
          <w:color w:val="auto"/>
          <w:sz w:val="24"/>
          <w:szCs w:val="21"/>
          <w:highlight w:val="none"/>
        </w:rPr>
        <w:t xml:space="preserve">统一社会信用代码：_________________________________ </w:t>
      </w:r>
    </w:p>
    <w:p w14:paraId="6BBCB385">
      <w:pPr>
        <w:widowControl/>
        <w:shd w:val="clear"/>
        <w:spacing w:line="360" w:lineRule="auto"/>
        <w:jc w:val="left"/>
        <w:rPr>
          <w:rFonts w:hint="eastAsia" w:ascii="宋体" w:hAnsi="宋体"/>
          <w:color w:val="auto"/>
          <w:sz w:val="24"/>
          <w:szCs w:val="21"/>
          <w:highlight w:val="none"/>
        </w:rPr>
      </w:pPr>
      <w:r>
        <w:rPr>
          <w:rFonts w:hint="eastAsia" w:ascii="宋体" w:hAnsi="宋体"/>
          <w:color w:val="auto"/>
          <w:sz w:val="24"/>
          <w:szCs w:val="21"/>
          <w:highlight w:val="none"/>
        </w:rPr>
        <w:t>供应商地址：_________________________________</w:t>
      </w:r>
    </w:p>
    <w:p w14:paraId="413FD2E7">
      <w:pPr>
        <w:widowControl/>
        <w:shd w:val="clear"/>
        <w:spacing w:line="360" w:lineRule="auto"/>
        <w:ind w:firstLine="480" w:firstLineChars="200"/>
        <w:jc w:val="left"/>
        <w:rPr>
          <w:rFonts w:hint="eastAsia" w:ascii="宋体" w:hAnsi="宋体"/>
          <w:color w:val="auto"/>
          <w:sz w:val="24"/>
          <w:szCs w:val="21"/>
          <w:highlight w:val="none"/>
        </w:rPr>
      </w:pPr>
      <w:r>
        <w:rPr>
          <w:rFonts w:hint="eastAsia" w:ascii="宋体" w:hAnsi="宋体"/>
          <w:color w:val="auto"/>
          <w:sz w:val="24"/>
          <w:szCs w:val="21"/>
          <w:highlight w:val="none"/>
        </w:rPr>
        <w:t>我单位自愿参加本次政府采购活动，严格遵守《中华人民共和国政府采购法》及相关法律法规，依法诚信经营，无条件遵守本次政府采购活动的各项规定。我单位郑重承诺：</w:t>
      </w:r>
    </w:p>
    <w:p w14:paraId="488ABCD0">
      <w:pPr>
        <w:widowControl/>
        <w:shd w:val="clear"/>
        <w:spacing w:line="360" w:lineRule="auto"/>
        <w:ind w:firstLine="480" w:firstLineChars="200"/>
        <w:jc w:val="left"/>
        <w:rPr>
          <w:rFonts w:hint="eastAsia" w:ascii="宋体" w:hAnsi="宋体"/>
          <w:color w:val="auto"/>
          <w:sz w:val="24"/>
          <w:szCs w:val="21"/>
          <w:highlight w:val="none"/>
        </w:rPr>
      </w:pPr>
      <w:r>
        <w:rPr>
          <w:rFonts w:hint="eastAsia" w:ascii="宋体" w:hAnsi="宋体"/>
          <w:color w:val="auto"/>
          <w:sz w:val="24"/>
          <w:szCs w:val="21"/>
          <w:highlight w:val="none"/>
        </w:rPr>
        <w:t>一、我单位具有有效的营业执照（三证合一）</w:t>
      </w:r>
    </w:p>
    <w:p w14:paraId="0D7A49B0">
      <w:pPr>
        <w:widowControl/>
        <w:shd w:val="clear"/>
        <w:spacing w:line="360" w:lineRule="auto"/>
        <w:ind w:firstLine="480" w:firstLineChars="200"/>
        <w:jc w:val="left"/>
        <w:rPr>
          <w:rFonts w:hint="eastAsia" w:ascii="宋体" w:hAnsi="宋体"/>
          <w:color w:val="auto"/>
          <w:sz w:val="24"/>
          <w:szCs w:val="21"/>
          <w:highlight w:val="none"/>
        </w:rPr>
      </w:pPr>
      <w:r>
        <w:rPr>
          <w:rFonts w:hint="eastAsia" w:ascii="宋体" w:hAnsi="宋体"/>
          <w:color w:val="auto"/>
          <w:sz w:val="24"/>
          <w:szCs w:val="21"/>
          <w:highlight w:val="none"/>
        </w:rPr>
        <w:t xml:space="preserve">二、我单位符合《中华人民共和国政府采购法》第二十二条规定的条件： </w:t>
      </w:r>
    </w:p>
    <w:p w14:paraId="27699B6A">
      <w:pPr>
        <w:widowControl/>
        <w:shd w:val="clear"/>
        <w:spacing w:line="360" w:lineRule="auto"/>
        <w:ind w:firstLine="480" w:firstLineChars="200"/>
        <w:jc w:val="left"/>
        <w:rPr>
          <w:rFonts w:hint="eastAsia" w:ascii="宋体" w:hAnsi="宋体"/>
          <w:color w:val="auto"/>
          <w:sz w:val="24"/>
          <w:szCs w:val="21"/>
          <w:highlight w:val="none"/>
        </w:rPr>
      </w:pPr>
      <w:r>
        <w:rPr>
          <w:rFonts w:hint="eastAsia" w:ascii="宋体" w:hAnsi="宋体"/>
          <w:color w:val="auto"/>
          <w:sz w:val="24"/>
          <w:szCs w:val="21"/>
          <w:highlight w:val="none"/>
        </w:rPr>
        <w:t xml:space="preserve">1.我单位具有符合采购文件资格要求的独立承担民事责任的能力。 </w:t>
      </w:r>
    </w:p>
    <w:p w14:paraId="197BE702">
      <w:pPr>
        <w:widowControl/>
        <w:shd w:val="clear"/>
        <w:spacing w:line="360" w:lineRule="auto"/>
        <w:ind w:firstLine="480" w:firstLineChars="200"/>
        <w:jc w:val="left"/>
        <w:rPr>
          <w:rFonts w:hint="eastAsia" w:ascii="宋体" w:hAnsi="宋体"/>
          <w:color w:val="auto"/>
          <w:sz w:val="24"/>
          <w:szCs w:val="21"/>
          <w:highlight w:val="none"/>
        </w:rPr>
      </w:pPr>
      <w:r>
        <w:rPr>
          <w:rFonts w:hint="eastAsia" w:ascii="宋体" w:hAnsi="宋体"/>
          <w:color w:val="auto"/>
          <w:sz w:val="24"/>
          <w:szCs w:val="21"/>
          <w:highlight w:val="none"/>
        </w:rPr>
        <w:t xml:space="preserve">2.我单位具有符合采购文件资格要求的财务状况报告。 </w:t>
      </w:r>
    </w:p>
    <w:p w14:paraId="415A05BA">
      <w:pPr>
        <w:widowControl/>
        <w:shd w:val="clear"/>
        <w:spacing w:line="360" w:lineRule="auto"/>
        <w:ind w:firstLine="480" w:firstLineChars="200"/>
        <w:jc w:val="left"/>
        <w:rPr>
          <w:rFonts w:hint="eastAsia" w:ascii="宋体" w:hAnsi="宋体"/>
          <w:color w:val="auto"/>
          <w:sz w:val="24"/>
          <w:szCs w:val="21"/>
          <w:highlight w:val="none"/>
        </w:rPr>
      </w:pPr>
      <w:r>
        <w:rPr>
          <w:rFonts w:hint="eastAsia" w:ascii="宋体" w:hAnsi="宋体"/>
          <w:color w:val="auto"/>
          <w:sz w:val="24"/>
          <w:szCs w:val="21"/>
          <w:highlight w:val="none"/>
        </w:rPr>
        <w:t xml:space="preserve">3.我单位具有符合采购文件资格要求的依法缴纳税收和社会保障记录的良好记录。 </w:t>
      </w:r>
    </w:p>
    <w:p w14:paraId="359A8DC8">
      <w:pPr>
        <w:widowControl/>
        <w:shd w:val="clear"/>
        <w:spacing w:line="360" w:lineRule="auto"/>
        <w:ind w:firstLine="480" w:firstLineChars="200"/>
        <w:jc w:val="left"/>
        <w:rPr>
          <w:rFonts w:hint="eastAsia" w:ascii="宋体" w:hAnsi="宋体"/>
          <w:color w:val="auto"/>
          <w:sz w:val="24"/>
          <w:szCs w:val="21"/>
          <w:highlight w:val="none"/>
        </w:rPr>
      </w:pPr>
      <w:r>
        <w:rPr>
          <w:rFonts w:hint="eastAsia" w:ascii="宋体" w:hAnsi="宋体"/>
          <w:color w:val="auto"/>
          <w:sz w:val="24"/>
          <w:szCs w:val="21"/>
          <w:highlight w:val="none"/>
        </w:rPr>
        <w:t xml:space="preserve">4.我单位具有符合采购文件资格要求的履行合同所必需的设备和专业技术能力。 </w:t>
      </w:r>
    </w:p>
    <w:p w14:paraId="053E0A00">
      <w:pPr>
        <w:widowControl/>
        <w:shd w:val="clear"/>
        <w:spacing w:line="360" w:lineRule="auto"/>
        <w:ind w:firstLine="480" w:firstLineChars="200"/>
        <w:jc w:val="left"/>
        <w:rPr>
          <w:rFonts w:hint="eastAsia" w:ascii="宋体" w:hAnsi="宋体"/>
          <w:color w:val="auto"/>
          <w:sz w:val="24"/>
          <w:szCs w:val="21"/>
          <w:highlight w:val="none"/>
        </w:rPr>
      </w:pPr>
      <w:r>
        <w:rPr>
          <w:rFonts w:hint="eastAsia" w:ascii="宋体" w:hAnsi="宋体"/>
          <w:color w:val="auto"/>
          <w:sz w:val="24"/>
          <w:szCs w:val="21"/>
          <w:highlight w:val="none"/>
        </w:rPr>
        <w:t xml:space="preserve">5.我单位参加政府采购活动前三年内，在经营活动中没有重大违法记录。 </w:t>
      </w:r>
    </w:p>
    <w:p w14:paraId="334910C7">
      <w:pPr>
        <w:pStyle w:val="3"/>
        <w:shd w:val="clear"/>
        <w:spacing w:line="400" w:lineRule="exact"/>
        <w:ind w:firstLine="482" w:firstLineChars="200"/>
        <w:rPr>
          <w:rFonts w:hint="eastAsia" w:ascii="宋体" w:hAnsi="宋体"/>
          <w:color w:val="auto"/>
          <w:sz w:val="24"/>
          <w:szCs w:val="21"/>
          <w:highlight w:val="none"/>
        </w:rPr>
      </w:pPr>
      <w:bookmarkStart w:id="63" w:name="_Toc7407"/>
      <w:r>
        <w:rPr>
          <w:rFonts w:hint="eastAsia" w:ascii="宋体" w:hAnsi="宋体"/>
          <w:color w:val="auto"/>
          <w:sz w:val="24"/>
          <w:szCs w:val="21"/>
          <w:highlight w:val="none"/>
        </w:rPr>
        <w:t>若我单位承诺不实，自愿承担提供虚假材料谋取中标、成交的法律责任。</w:t>
      </w:r>
      <w:bookmarkEnd w:id="63"/>
      <w:r>
        <w:rPr>
          <w:rFonts w:hint="eastAsia" w:ascii="宋体" w:hAnsi="宋体"/>
          <w:color w:val="auto"/>
          <w:sz w:val="24"/>
          <w:szCs w:val="21"/>
          <w:highlight w:val="none"/>
        </w:rPr>
        <w:t xml:space="preserve"> </w:t>
      </w:r>
    </w:p>
    <w:p w14:paraId="15156907">
      <w:pPr>
        <w:shd w:val="clear"/>
        <w:rPr>
          <w:color w:val="auto"/>
          <w:highlight w:val="none"/>
        </w:rPr>
      </w:pPr>
    </w:p>
    <w:p w14:paraId="716AF700">
      <w:pPr>
        <w:widowControl/>
        <w:shd w:val="clear"/>
        <w:spacing w:line="480" w:lineRule="exact"/>
        <w:jc w:val="right"/>
        <w:rPr>
          <w:rFonts w:hint="eastAsia" w:ascii="宋体" w:hAnsi="宋体"/>
          <w:color w:val="auto"/>
          <w:sz w:val="24"/>
          <w:szCs w:val="21"/>
          <w:highlight w:val="none"/>
        </w:rPr>
      </w:pPr>
      <w:r>
        <w:rPr>
          <w:rFonts w:hint="eastAsia" w:ascii="宋体" w:hAnsi="宋体"/>
          <w:color w:val="auto"/>
          <w:sz w:val="24"/>
          <w:szCs w:val="21"/>
          <w:highlight w:val="none"/>
        </w:rPr>
        <w:t xml:space="preserve">承诺供应商（全称并加盖公章）：__________________ </w:t>
      </w:r>
    </w:p>
    <w:p w14:paraId="2F92A374">
      <w:pPr>
        <w:widowControl/>
        <w:shd w:val="clear"/>
        <w:spacing w:line="480" w:lineRule="exact"/>
        <w:jc w:val="right"/>
        <w:rPr>
          <w:rFonts w:hint="eastAsia" w:ascii="宋体" w:hAnsi="宋体"/>
          <w:color w:val="auto"/>
          <w:sz w:val="24"/>
          <w:szCs w:val="21"/>
          <w:highlight w:val="none"/>
        </w:rPr>
      </w:pPr>
      <w:r>
        <w:rPr>
          <w:rFonts w:hint="eastAsia" w:ascii="宋体" w:hAnsi="宋体"/>
          <w:color w:val="auto"/>
          <w:sz w:val="24"/>
          <w:szCs w:val="21"/>
          <w:highlight w:val="none"/>
        </w:rPr>
        <w:t xml:space="preserve">法定代表人或授权代表(签字或盖章)：__________________ </w:t>
      </w:r>
    </w:p>
    <w:p w14:paraId="279554B6">
      <w:pPr>
        <w:widowControl/>
        <w:shd w:val="clear"/>
        <w:spacing w:line="480" w:lineRule="exact"/>
        <w:jc w:val="right"/>
        <w:rPr>
          <w:rFonts w:hint="eastAsia" w:ascii="宋体" w:hAnsi="宋体"/>
          <w:color w:val="auto"/>
          <w:sz w:val="24"/>
          <w:szCs w:val="21"/>
          <w:highlight w:val="none"/>
        </w:rPr>
      </w:pPr>
      <w:r>
        <w:rPr>
          <w:rFonts w:hint="eastAsia" w:ascii="宋体" w:hAnsi="宋体"/>
          <w:color w:val="auto"/>
          <w:sz w:val="24"/>
          <w:szCs w:val="21"/>
          <w:highlight w:val="none"/>
        </w:rPr>
        <w:t>日期：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39E945A9">
      <w:pPr>
        <w:shd w:val="clea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6935071E">
      <w:pPr>
        <w:shd w:val="clear"/>
        <w:spacing w:line="360" w:lineRule="auto"/>
        <w:rPr>
          <w:b/>
          <w:color w:val="auto"/>
          <w:sz w:val="32"/>
          <w:szCs w:val="32"/>
          <w:highlight w:val="none"/>
        </w:rPr>
      </w:pPr>
      <w:r>
        <w:rPr>
          <w:rFonts w:hint="eastAsia" w:ascii="宋体" w:hAnsi="宋体"/>
          <w:b/>
          <w:color w:val="auto"/>
          <w:sz w:val="28"/>
          <w:szCs w:val="28"/>
          <w:highlight w:val="none"/>
        </w:rPr>
        <w:t>附件5：</w:t>
      </w:r>
    </w:p>
    <w:p w14:paraId="325F0096">
      <w:pPr>
        <w:shd w:val="clear"/>
        <w:spacing w:line="360" w:lineRule="auto"/>
        <w:ind w:firstLine="643" w:firstLineChars="200"/>
        <w:jc w:val="center"/>
        <w:rPr>
          <w:b/>
          <w:color w:val="auto"/>
          <w:sz w:val="32"/>
          <w:szCs w:val="32"/>
          <w:highlight w:val="none"/>
        </w:rPr>
      </w:pPr>
    </w:p>
    <w:p w14:paraId="01A6498C">
      <w:pPr>
        <w:shd w:val="clear"/>
        <w:spacing w:line="360" w:lineRule="auto"/>
        <w:ind w:firstLine="562" w:firstLineChars="200"/>
        <w:jc w:val="center"/>
        <w:rPr>
          <w:b/>
          <w:bCs/>
          <w:color w:val="auto"/>
          <w:sz w:val="28"/>
          <w:szCs w:val="28"/>
          <w:highlight w:val="none"/>
        </w:rPr>
      </w:pPr>
      <w:r>
        <w:rPr>
          <w:rFonts w:hint="eastAsia"/>
          <w:b/>
          <w:bCs/>
          <w:color w:val="auto"/>
          <w:sz w:val="28"/>
          <w:szCs w:val="28"/>
          <w:highlight w:val="none"/>
        </w:rPr>
        <w:t>供应商的服务承诺及优惠承诺</w:t>
      </w:r>
    </w:p>
    <w:p w14:paraId="6360252C">
      <w:pPr>
        <w:widowControl/>
        <w:shd w:val="clear"/>
        <w:spacing w:line="360" w:lineRule="auto"/>
        <w:jc w:val="left"/>
        <w:rPr>
          <w:rFonts w:hint="eastAsia" w:ascii="宋体" w:hAnsi="宋体"/>
          <w:color w:val="auto"/>
          <w:kern w:val="0"/>
          <w:sz w:val="24"/>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附件6：</w:t>
      </w:r>
    </w:p>
    <w:p w14:paraId="7A7EF45B">
      <w:pPr>
        <w:shd w:val="clear"/>
        <w:spacing w:line="360" w:lineRule="auto"/>
        <w:ind w:firstLine="643" w:firstLineChars="200"/>
        <w:jc w:val="center"/>
        <w:rPr>
          <w:b/>
          <w:color w:val="auto"/>
          <w:sz w:val="32"/>
          <w:szCs w:val="32"/>
          <w:highlight w:val="none"/>
        </w:rPr>
      </w:pPr>
    </w:p>
    <w:p w14:paraId="73713786">
      <w:pPr>
        <w:shd w:val="clear"/>
        <w:spacing w:line="360" w:lineRule="auto"/>
        <w:jc w:val="center"/>
        <w:rPr>
          <w:b/>
          <w:bCs/>
          <w:color w:val="auto"/>
          <w:sz w:val="28"/>
          <w:szCs w:val="28"/>
          <w:highlight w:val="none"/>
        </w:rPr>
      </w:pPr>
      <w:r>
        <w:rPr>
          <w:rFonts w:hint="eastAsia"/>
          <w:b/>
          <w:bCs/>
          <w:color w:val="auto"/>
          <w:sz w:val="28"/>
          <w:szCs w:val="28"/>
          <w:highlight w:val="none"/>
        </w:rPr>
        <w:t>供应商所投产品属于政府采购清单规定的节能环保产品的证明材料</w:t>
      </w:r>
    </w:p>
    <w:p w14:paraId="596C023E">
      <w:pPr>
        <w:shd w:val="clear"/>
        <w:spacing w:line="360" w:lineRule="auto"/>
        <w:jc w:val="center"/>
        <w:rPr>
          <w:b/>
          <w:bCs/>
          <w:color w:val="auto"/>
          <w:sz w:val="28"/>
          <w:szCs w:val="28"/>
          <w:highlight w:val="none"/>
        </w:rPr>
      </w:pPr>
      <w:r>
        <w:rPr>
          <w:rFonts w:hint="eastAsia"/>
          <w:b/>
          <w:bCs/>
          <w:color w:val="auto"/>
          <w:sz w:val="28"/>
          <w:szCs w:val="28"/>
          <w:highlight w:val="none"/>
        </w:rPr>
        <w:t>（如有）</w:t>
      </w:r>
    </w:p>
    <w:p w14:paraId="1F9EFA63">
      <w:pPr>
        <w:widowControl/>
        <w:shd w:val="clear"/>
        <w:spacing w:line="360" w:lineRule="auto"/>
        <w:jc w:val="left"/>
        <w:rPr>
          <w:b/>
          <w:color w:val="auto"/>
          <w:sz w:val="44"/>
          <w:szCs w:val="44"/>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附件7：</w:t>
      </w:r>
    </w:p>
    <w:p w14:paraId="30F87717">
      <w:pPr>
        <w:shd w:val="clear"/>
        <w:spacing w:line="360" w:lineRule="auto"/>
        <w:jc w:val="center"/>
        <w:rPr>
          <w:b/>
          <w:bCs/>
          <w:color w:val="auto"/>
          <w:sz w:val="28"/>
          <w:szCs w:val="28"/>
          <w:highlight w:val="none"/>
        </w:rPr>
      </w:pPr>
      <w:r>
        <w:rPr>
          <w:rFonts w:hint="eastAsia"/>
          <w:b/>
          <w:bCs/>
          <w:color w:val="auto"/>
          <w:sz w:val="28"/>
          <w:szCs w:val="28"/>
          <w:highlight w:val="none"/>
        </w:rPr>
        <w:t>投标承诺函</w:t>
      </w:r>
    </w:p>
    <w:p w14:paraId="46FD8000">
      <w:pPr>
        <w:widowControl/>
        <w:shd w:val="clear"/>
        <w:tabs>
          <w:tab w:val="left" w:pos="735"/>
        </w:tabs>
        <w:spacing w:line="600" w:lineRule="atLeast"/>
        <w:rPr>
          <w:rFonts w:hint="eastAsia" w:ascii="宋体" w:hAnsi="宋体"/>
          <w:b/>
          <w:color w:val="auto"/>
          <w:sz w:val="28"/>
          <w:szCs w:val="28"/>
          <w:highlight w:val="none"/>
        </w:rPr>
      </w:pPr>
    </w:p>
    <w:p w14:paraId="06246741">
      <w:pPr>
        <w:shd w:val="clea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我单位对</w:t>
      </w:r>
      <w:r>
        <w:rPr>
          <w:rFonts w:hint="eastAsia" w:ascii="宋体" w:hAnsi="宋体"/>
          <w:color w:val="auto"/>
          <w:sz w:val="24"/>
          <w:highlight w:val="none"/>
          <w:u w:val="single"/>
        </w:rPr>
        <w:t xml:space="preserve">                                   </w:t>
      </w:r>
      <w:r>
        <w:rPr>
          <w:rFonts w:hint="eastAsia" w:ascii="宋体" w:hAnsi="宋体"/>
          <w:color w:val="auto"/>
          <w:sz w:val="24"/>
          <w:highlight w:val="none"/>
        </w:rPr>
        <w:t>项目（采购编号：       ）投标行为做出承诺，保证所提交材料的真实性。</w:t>
      </w:r>
    </w:p>
    <w:p w14:paraId="3D99E7A1">
      <w:pPr>
        <w:shd w:val="clea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我单位承诺：</w:t>
      </w:r>
    </w:p>
    <w:p w14:paraId="5457DC1C">
      <w:pPr>
        <w:shd w:val="clea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1、在响应性文件递交截止时间后至确定成交人的</w:t>
      </w:r>
      <w:r>
        <w:rPr>
          <w:color w:val="auto"/>
          <w:highlight w:val="none"/>
        </w:rPr>
        <w:fldChar w:fldCharType="begin"/>
      </w:r>
      <w:r>
        <w:rPr>
          <w:color w:val="auto"/>
          <w:highlight w:val="none"/>
        </w:rPr>
        <w:instrText xml:space="preserve"> HYPERLINK "https://baike.so.com/doc/5394983-5632135.html" \t "https://baike.so.com/doc/_blank" </w:instrText>
      </w:r>
      <w:r>
        <w:rPr>
          <w:color w:val="auto"/>
          <w:highlight w:val="none"/>
        </w:rPr>
        <w:fldChar w:fldCharType="separate"/>
      </w:r>
      <w:r>
        <w:rPr>
          <w:rFonts w:ascii="宋体" w:hAnsi="宋体"/>
          <w:color w:val="auto"/>
          <w:sz w:val="24"/>
          <w:highlight w:val="none"/>
        </w:rPr>
        <w:t>投标有效期</w:t>
      </w:r>
      <w:r>
        <w:rPr>
          <w:rFonts w:ascii="宋体" w:hAnsi="宋体"/>
          <w:color w:val="auto"/>
          <w:sz w:val="24"/>
          <w:highlight w:val="none"/>
        </w:rPr>
        <w:fldChar w:fldCharType="end"/>
      </w:r>
      <w:r>
        <w:rPr>
          <w:rFonts w:ascii="宋体" w:hAnsi="宋体"/>
          <w:color w:val="auto"/>
          <w:sz w:val="24"/>
          <w:highlight w:val="none"/>
        </w:rPr>
        <w:t>内</w:t>
      </w:r>
      <w:r>
        <w:rPr>
          <w:rFonts w:hint="eastAsia" w:ascii="宋体" w:hAnsi="宋体"/>
          <w:color w:val="auto"/>
          <w:sz w:val="24"/>
          <w:highlight w:val="none"/>
        </w:rPr>
        <w:t>，我单位不得要求退出竞标或者修改响应性文件且</w:t>
      </w:r>
      <w:r>
        <w:rPr>
          <w:rFonts w:ascii="宋体" w:hAnsi="宋体"/>
          <w:color w:val="auto"/>
          <w:sz w:val="24"/>
          <w:highlight w:val="none"/>
        </w:rPr>
        <w:t>对递交的</w:t>
      </w:r>
      <w:r>
        <w:rPr>
          <w:rFonts w:hint="eastAsia" w:ascii="宋体" w:hAnsi="宋体"/>
          <w:color w:val="auto"/>
          <w:sz w:val="24"/>
          <w:highlight w:val="none"/>
        </w:rPr>
        <w:t>响应性</w:t>
      </w:r>
      <w:r>
        <w:rPr>
          <w:rFonts w:ascii="宋体" w:hAnsi="宋体"/>
          <w:color w:val="auto"/>
          <w:sz w:val="24"/>
          <w:highlight w:val="none"/>
        </w:rPr>
        <w:t>文件负责，受其约束。</w:t>
      </w:r>
    </w:p>
    <w:p w14:paraId="49A40918">
      <w:pPr>
        <w:shd w:val="clea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2、若我单位成交，在接到成交通知书后，除不可抗力因素外，及时按</w:t>
      </w:r>
      <w:r>
        <w:rPr>
          <w:rFonts w:ascii="宋体" w:hAnsi="宋体"/>
          <w:color w:val="auto"/>
          <w:sz w:val="24"/>
          <w:highlight w:val="none"/>
        </w:rPr>
        <w:t>规定</w:t>
      </w:r>
      <w:r>
        <w:rPr>
          <w:rFonts w:hint="eastAsia" w:ascii="宋体" w:hAnsi="宋体"/>
          <w:color w:val="auto"/>
          <w:sz w:val="24"/>
          <w:highlight w:val="none"/>
        </w:rPr>
        <w:t>与采购人</w:t>
      </w:r>
      <w:r>
        <w:rPr>
          <w:rFonts w:ascii="宋体" w:hAnsi="宋体"/>
          <w:color w:val="auto"/>
          <w:sz w:val="24"/>
          <w:highlight w:val="none"/>
        </w:rPr>
        <w:t>签订合同</w:t>
      </w:r>
      <w:r>
        <w:rPr>
          <w:rFonts w:hint="eastAsia" w:ascii="宋体" w:hAnsi="宋体"/>
          <w:color w:val="auto"/>
          <w:sz w:val="24"/>
          <w:highlight w:val="none"/>
        </w:rPr>
        <w:t>并认真履约。</w:t>
      </w:r>
    </w:p>
    <w:p w14:paraId="34FDBF47">
      <w:pPr>
        <w:shd w:val="clear"/>
        <w:spacing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3、非因不可抗力因素放弃成交或未按规定期限与采购人签订合同，愿赔偿采购人由此造成的损失（损失费由采购人按相关规定计算），并愿接受采购金额千分之五以上千分之十以下罚款、列入不良行为记录名单、在1至3年内禁止参加政府采购活动、给予通报的处罚。</w:t>
      </w:r>
    </w:p>
    <w:p w14:paraId="059FCD4E">
      <w:pPr>
        <w:shd w:val="clear"/>
        <w:spacing w:line="360" w:lineRule="auto"/>
        <w:ind w:firstLine="480" w:firstLineChars="200"/>
        <w:jc w:val="left"/>
        <w:rPr>
          <w:color w:val="auto"/>
          <w:highlight w:val="none"/>
        </w:rPr>
      </w:pPr>
      <w:r>
        <w:rPr>
          <w:rFonts w:hint="eastAsia" w:ascii="宋体" w:hAnsi="宋体"/>
          <w:color w:val="auto"/>
          <w:sz w:val="24"/>
          <w:highlight w:val="none"/>
        </w:rPr>
        <w:t>4、</w:t>
      </w:r>
      <w:r>
        <w:rPr>
          <w:rFonts w:hint="eastAsia" w:ascii="宋体" w:hAnsi="宋体" w:cs="宋体"/>
          <w:color w:val="auto"/>
          <w:sz w:val="24"/>
          <w:highlight w:val="none"/>
        </w:rPr>
        <w:t>一旦我方中标，我方在收到成交通知书后15日内，依据竞争性谈判文件、响应文件与采购人签订合同。若由于我方原因在15日内因非不可抗力拒绝与采购人签订合同的，愿意接受相关部门依法作出的处罚。合同签订后严格按照合同履约，并配合采购人完成履约验收。</w:t>
      </w:r>
    </w:p>
    <w:p w14:paraId="5E93D9E3">
      <w:pPr>
        <w:widowControl/>
        <w:shd w:val="clea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5、</w:t>
      </w:r>
      <w:r>
        <w:rPr>
          <w:rFonts w:hint="eastAsia" w:ascii="宋体" w:hAnsi="宋体" w:cs="宋体"/>
          <w:color w:val="auto"/>
          <w:sz w:val="24"/>
          <w:highlight w:val="none"/>
        </w:rPr>
        <w:t>我方参与本项目投标的所有资料真实有效，未在响应文件中提供虚假材料，无陪标、串标等违法行为。若相关部门查实或被不见面开标系统提示为“投标文件制作机器码一致”的，同意被视为投标无效，接受报监管部门依法作出的处理。</w:t>
      </w:r>
    </w:p>
    <w:p w14:paraId="691ACE47">
      <w:pPr>
        <w:shd w:val="clear"/>
        <w:spacing w:line="5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6、不存在法律法规规定的其他违法违规行为。</w:t>
      </w:r>
    </w:p>
    <w:p w14:paraId="44685A73">
      <w:pPr>
        <w:shd w:val="clear"/>
        <w:rPr>
          <w:color w:val="auto"/>
          <w:highlight w:val="none"/>
        </w:rPr>
      </w:pPr>
    </w:p>
    <w:p w14:paraId="7262D3C1">
      <w:pPr>
        <w:pStyle w:val="16"/>
        <w:shd w:val="clear"/>
        <w:adjustRightInd w:val="0"/>
        <w:snapToGrid w:val="0"/>
        <w:spacing w:line="360" w:lineRule="auto"/>
        <w:ind w:firstLine="480" w:firstLineChars="200"/>
        <w:jc w:val="right"/>
        <w:rPr>
          <w:rFonts w:hint="eastAsia" w:hAnsi="宋体"/>
          <w:color w:val="auto"/>
          <w:sz w:val="24"/>
          <w:highlight w:val="none"/>
        </w:rPr>
      </w:pPr>
      <w:r>
        <w:rPr>
          <w:rFonts w:hint="eastAsia" w:hAnsi="宋体"/>
          <w:color w:val="auto"/>
          <w:sz w:val="24"/>
          <w:highlight w:val="none"/>
        </w:rPr>
        <w:t xml:space="preserve">                  供应商（盖章）： </w:t>
      </w:r>
    </w:p>
    <w:p w14:paraId="5462751E">
      <w:pPr>
        <w:pStyle w:val="16"/>
        <w:shd w:val="clear"/>
        <w:adjustRightInd w:val="0"/>
        <w:snapToGrid w:val="0"/>
        <w:spacing w:line="360" w:lineRule="auto"/>
        <w:ind w:firstLine="480" w:firstLineChars="200"/>
        <w:jc w:val="right"/>
        <w:rPr>
          <w:rFonts w:hAnsi="Calibri"/>
          <w:color w:val="auto"/>
          <w:sz w:val="24"/>
          <w:szCs w:val="24"/>
          <w:highlight w:val="none"/>
        </w:rPr>
      </w:pPr>
      <w:r>
        <w:rPr>
          <w:rFonts w:hint="eastAsia" w:hAnsi="宋体"/>
          <w:color w:val="auto"/>
          <w:sz w:val="24"/>
          <w:highlight w:val="none"/>
        </w:rPr>
        <w:t xml:space="preserve"> </w:t>
      </w:r>
      <w:r>
        <w:rPr>
          <w:rFonts w:hint="eastAsia" w:hAnsi="Calibri"/>
          <w:color w:val="auto"/>
          <w:sz w:val="24"/>
          <w:szCs w:val="24"/>
          <w:highlight w:val="none"/>
        </w:rPr>
        <w:t>年    月     日</w:t>
      </w:r>
    </w:p>
    <w:p w14:paraId="6033F037">
      <w:pPr>
        <w:shd w:val="clear"/>
        <w:spacing w:line="520" w:lineRule="exact"/>
        <w:rPr>
          <w:b/>
          <w:color w:val="auto"/>
          <w:sz w:val="44"/>
          <w:szCs w:val="44"/>
          <w:highlight w:val="none"/>
        </w:rPr>
      </w:pPr>
      <w:r>
        <w:rPr>
          <w:rFonts w:hint="eastAsia" w:ascii="宋体" w:hAnsi="宋体"/>
          <w:b/>
          <w:color w:val="auto"/>
          <w:sz w:val="28"/>
          <w:szCs w:val="28"/>
          <w:highlight w:val="none"/>
        </w:rPr>
        <w:t>附件8：</w:t>
      </w:r>
      <w:r>
        <w:rPr>
          <w:rFonts w:hint="eastAsia" w:ascii="宋体" w:hAnsi="宋体"/>
          <w:color w:val="auto"/>
          <w:sz w:val="24"/>
          <w:highlight w:val="none"/>
        </w:rPr>
        <w:t xml:space="preserve">    </w:t>
      </w:r>
    </w:p>
    <w:p w14:paraId="43935289">
      <w:pPr>
        <w:shd w:val="clear"/>
        <w:spacing w:line="360" w:lineRule="auto"/>
        <w:jc w:val="center"/>
        <w:rPr>
          <w:rFonts w:hint="eastAsia" w:eastAsia="宋体"/>
          <w:b/>
          <w:bCs/>
          <w:color w:val="auto"/>
          <w:sz w:val="28"/>
          <w:szCs w:val="28"/>
          <w:highlight w:val="none"/>
          <w:lang w:eastAsia="zh-CN"/>
        </w:rPr>
      </w:pPr>
      <w:r>
        <w:rPr>
          <w:rFonts w:hint="eastAsia"/>
          <w:b/>
          <w:bCs/>
          <w:color w:val="auto"/>
          <w:sz w:val="28"/>
          <w:szCs w:val="28"/>
          <w:highlight w:val="none"/>
        </w:rPr>
        <w:t>中小企业声明函（如有）</w:t>
      </w:r>
    </w:p>
    <w:p w14:paraId="05D22279">
      <w:pPr>
        <w:shd w:val="clear"/>
        <w:jc w:val="center"/>
        <w:rPr>
          <w:rFonts w:hint="eastAsia" w:ascii="宋体" w:hAnsi="宋体" w:cs="宋体"/>
          <w:b/>
          <w:bCs/>
          <w:color w:val="auto"/>
          <w:sz w:val="28"/>
          <w:szCs w:val="28"/>
          <w:highlight w:val="none"/>
        </w:rPr>
      </w:pPr>
    </w:p>
    <w:p w14:paraId="6981211F">
      <w:pPr>
        <w:shd w:val="clear"/>
        <w:spacing w:line="56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本公司（联合体）郑重声明，根据《政府采购促进中小 企业发展管理办法》（财库﹝2020﹞46 号）的规定，本公司 （联合体）参加</w:t>
      </w:r>
      <w:r>
        <w:rPr>
          <w:rFonts w:ascii="宋体" w:hAnsi="宋体" w:cs="宋体"/>
          <w:color w:val="auto"/>
          <w:sz w:val="24"/>
          <w:highlight w:val="none"/>
          <w:u w:val="single"/>
        </w:rPr>
        <w:t>（单位名称）</w:t>
      </w:r>
      <w:r>
        <w:rPr>
          <w:rFonts w:ascii="宋体" w:hAnsi="宋体" w:cs="宋体"/>
          <w:color w:val="auto"/>
          <w:sz w:val="24"/>
          <w:highlight w:val="none"/>
        </w:rPr>
        <w:t>的</w:t>
      </w:r>
      <w:r>
        <w:rPr>
          <w:rFonts w:ascii="宋体" w:hAnsi="宋体" w:cs="宋体"/>
          <w:color w:val="auto"/>
          <w:sz w:val="24"/>
          <w:highlight w:val="none"/>
          <w:u w:val="single"/>
        </w:rPr>
        <w:t>（项目名称）</w:t>
      </w:r>
      <w:r>
        <w:rPr>
          <w:rFonts w:ascii="宋体" w:hAnsi="宋体" w:cs="宋体"/>
          <w:color w:val="auto"/>
          <w:sz w:val="24"/>
          <w:highlight w:val="none"/>
        </w:rPr>
        <w:t>采购活动，提供的货物全部由符合政策要求的中小企业制造。相关企业 （含联合体中的中小企业、签订分包意向协议的中小企业） 的具体情况如下：</w:t>
      </w:r>
    </w:p>
    <w:p w14:paraId="19E07FB3">
      <w:pPr>
        <w:numPr>
          <w:ilvl w:val="0"/>
          <w:numId w:val="5"/>
        </w:numPr>
        <w:shd w:val="clear"/>
        <w:spacing w:line="560" w:lineRule="exact"/>
        <w:ind w:left="0" w:firstLine="600" w:firstLineChars="250"/>
        <w:rPr>
          <w:rFonts w:hint="eastAsia" w:ascii="宋体" w:hAnsi="宋体" w:cs="宋体"/>
          <w:color w:val="auto"/>
          <w:sz w:val="24"/>
          <w:highlight w:val="none"/>
        </w:rPr>
      </w:pPr>
      <w:r>
        <w:rPr>
          <w:rFonts w:ascii="宋体" w:hAnsi="宋体" w:cs="宋体"/>
          <w:color w:val="auto"/>
          <w:sz w:val="24"/>
          <w:highlight w:val="none"/>
          <w:u w:val="single"/>
        </w:rPr>
        <w:t>（标的名称）</w:t>
      </w:r>
      <w:r>
        <w:rPr>
          <w:rFonts w:ascii="宋体" w:hAnsi="宋体" w:cs="宋体"/>
          <w:color w:val="auto"/>
          <w:sz w:val="24"/>
          <w:highlight w:val="none"/>
        </w:rPr>
        <w:t xml:space="preserve"> ，属于</w:t>
      </w:r>
      <w:r>
        <w:rPr>
          <w:rFonts w:hint="eastAsia" w:ascii="宋体" w:hAnsi="宋体" w:cs="宋体"/>
          <w:color w:val="auto"/>
          <w:sz w:val="24"/>
          <w:highlight w:val="none"/>
          <w:u w:val="single"/>
        </w:rPr>
        <w:t xml:space="preserve">           </w:t>
      </w:r>
      <w:r>
        <w:rPr>
          <w:rFonts w:ascii="宋体" w:hAnsi="宋体" w:cs="宋体"/>
          <w:color w:val="auto"/>
          <w:sz w:val="24"/>
          <w:highlight w:val="none"/>
        </w:rPr>
        <w:t xml:space="preserve"> 行业；制造商为</w:t>
      </w:r>
      <w:r>
        <w:rPr>
          <w:rFonts w:ascii="宋体" w:hAnsi="宋体" w:cs="宋体"/>
          <w:color w:val="auto"/>
          <w:sz w:val="24"/>
          <w:highlight w:val="none"/>
          <w:u w:val="single"/>
        </w:rPr>
        <w:t>（企业名称）</w:t>
      </w:r>
      <w:r>
        <w:rPr>
          <w:rFonts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ascii="宋体" w:hAnsi="宋体" w:cs="宋体"/>
          <w:color w:val="auto"/>
          <w:sz w:val="24"/>
          <w:highlight w:val="none"/>
        </w:rPr>
        <w:t>万元 ，属于</w:t>
      </w:r>
      <w:r>
        <w:rPr>
          <w:rFonts w:ascii="宋体" w:hAnsi="宋体" w:cs="宋体"/>
          <w:color w:val="auto"/>
          <w:sz w:val="24"/>
          <w:highlight w:val="none"/>
          <w:u w:val="single"/>
        </w:rPr>
        <w:t>（中型企业、小型企业、微型企业）</w:t>
      </w:r>
      <w:r>
        <w:rPr>
          <w:rFonts w:ascii="宋体" w:hAnsi="宋体" w:cs="宋体"/>
          <w:color w:val="auto"/>
          <w:sz w:val="24"/>
          <w:highlight w:val="none"/>
        </w:rPr>
        <w:t>；</w:t>
      </w:r>
    </w:p>
    <w:p w14:paraId="548FBCE9">
      <w:pPr>
        <w:numPr>
          <w:ilvl w:val="0"/>
          <w:numId w:val="5"/>
        </w:numPr>
        <w:shd w:val="clear"/>
        <w:spacing w:line="560" w:lineRule="exact"/>
        <w:ind w:left="0" w:firstLine="600" w:firstLineChars="250"/>
        <w:rPr>
          <w:rFonts w:hint="eastAsia" w:ascii="宋体" w:hAnsi="宋体" w:cs="宋体"/>
          <w:color w:val="auto"/>
          <w:sz w:val="24"/>
          <w:highlight w:val="none"/>
        </w:rPr>
      </w:pPr>
      <w:r>
        <w:rPr>
          <w:rFonts w:ascii="宋体" w:hAnsi="宋体" w:cs="宋体"/>
          <w:color w:val="auto"/>
          <w:sz w:val="24"/>
          <w:highlight w:val="none"/>
          <w:u w:val="single"/>
        </w:rPr>
        <w:t xml:space="preserve">（标的名称） </w:t>
      </w:r>
      <w:r>
        <w:rPr>
          <w:rFonts w:ascii="宋体" w:hAnsi="宋体" w:cs="宋体"/>
          <w:color w:val="auto"/>
          <w:sz w:val="24"/>
          <w:highlight w:val="none"/>
        </w:rPr>
        <w:t>，属于</w:t>
      </w:r>
      <w:r>
        <w:rPr>
          <w:rFonts w:hint="eastAsia" w:ascii="宋体" w:hAnsi="宋体" w:cs="宋体"/>
          <w:color w:val="auto"/>
          <w:sz w:val="24"/>
          <w:highlight w:val="none"/>
          <w:u w:val="single"/>
        </w:rPr>
        <w:t xml:space="preserve">          </w:t>
      </w:r>
      <w:r>
        <w:rPr>
          <w:rFonts w:ascii="宋体" w:hAnsi="宋体" w:cs="宋体"/>
          <w:color w:val="auto"/>
          <w:sz w:val="24"/>
          <w:highlight w:val="none"/>
        </w:rPr>
        <w:t xml:space="preserve"> 行业；制造商为</w:t>
      </w:r>
      <w:r>
        <w:rPr>
          <w:rFonts w:ascii="宋体" w:hAnsi="宋体" w:cs="宋体"/>
          <w:color w:val="auto"/>
          <w:sz w:val="24"/>
          <w:highlight w:val="none"/>
          <w:u w:val="single"/>
        </w:rPr>
        <w:t>（企业名称）</w:t>
      </w:r>
      <w:r>
        <w:rPr>
          <w:rFonts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ascii="宋体" w:hAnsi="宋体" w:cs="宋体"/>
          <w:color w:val="auto"/>
          <w:sz w:val="24"/>
          <w:highlight w:val="none"/>
        </w:rPr>
        <w:t>万元，属于</w:t>
      </w:r>
      <w:r>
        <w:rPr>
          <w:rFonts w:ascii="宋体" w:hAnsi="宋体" w:cs="宋体"/>
          <w:color w:val="auto"/>
          <w:sz w:val="24"/>
          <w:highlight w:val="none"/>
          <w:u w:val="single"/>
        </w:rPr>
        <w:t>（中型企业、小型企业、微型企业）</w:t>
      </w:r>
      <w:r>
        <w:rPr>
          <w:rFonts w:ascii="宋体" w:hAnsi="宋体" w:cs="宋体"/>
          <w:color w:val="auto"/>
          <w:sz w:val="24"/>
          <w:highlight w:val="none"/>
        </w:rPr>
        <w:t>；</w:t>
      </w:r>
    </w:p>
    <w:p w14:paraId="294F0A0B">
      <w:pPr>
        <w:shd w:val="clear"/>
        <w:spacing w:line="560" w:lineRule="exact"/>
        <w:ind w:left="525" w:leftChars="250"/>
        <w:rPr>
          <w:rFonts w:hint="eastAsia" w:ascii="宋体" w:hAnsi="宋体" w:cs="宋体"/>
          <w:color w:val="auto"/>
          <w:sz w:val="24"/>
          <w:highlight w:val="none"/>
        </w:rPr>
      </w:pPr>
      <w:r>
        <w:rPr>
          <w:rFonts w:ascii="宋体" w:hAnsi="宋体" w:cs="宋体"/>
          <w:color w:val="auto"/>
          <w:sz w:val="24"/>
          <w:highlight w:val="none"/>
        </w:rPr>
        <w:t xml:space="preserve"> …… </w:t>
      </w:r>
    </w:p>
    <w:p w14:paraId="584101D7">
      <w:pPr>
        <w:shd w:val="clear"/>
        <w:spacing w:line="560" w:lineRule="exact"/>
        <w:ind w:left="5" w:firstLine="518" w:firstLineChars="216"/>
        <w:rPr>
          <w:rFonts w:hint="eastAsia" w:ascii="宋体" w:hAnsi="宋体" w:cs="宋体"/>
          <w:color w:val="auto"/>
          <w:sz w:val="24"/>
          <w:highlight w:val="none"/>
        </w:rPr>
      </w:pPr>
      <w:r>
        <w:rPr>
          <w:rFonts w:ascii="宋体" w:hAnsi="宋体" w:cs="宋体"/>
          <w:color w:val="auto"/>
          <w:sz w:val="24"/>
          <w:highlight w:val="none"/>
        </w:rPr>
        <w:t xml:space="preserve">以上企业，不属于大企业的分支机构，不存在控股股东 为大企业的情形，也不存在与大企业的负责人为同一人的情形。 </w:t>
      </w:r>
    </w:p>
    <w:p w14:paraId="50F077A3">
      <w:pPr>
        <w:shd w:val="clear"/>
        <w:spacing w:line="560" w:lineRule="exact"/>
        <w:ind w:left="5" w:firstLine="518" w:firstLineChars="216"/>
        <w:rPr>
          <w:rFonts w:hint="eastAsia" w:ascii="宋体" w:hAnsi="宋体" w:cs="宋体"/>
          <w:color w:val="auto"/>
          <w:sz w:val="24"/>
          <w:highlight w:val="none"/>
        </w:rPr>
      </w:pPr>
      <w:r>
        <w:rPr>
          <w:rFonts w:ascii="宋体" w:hAnsi="宋体" w:cs="宋体"/>
          <w:color w:val="auto"/>
          <w:sz w:val="24"/>
          <w:highlight w:val="none"/>
        </w:rPr>
        <w:t xml:space="preserve">本企业对上述声明内容的真实性负责。如有虚假，将依 法承担相应责任。 </w:t>
      </w:r>
    </w:p>
    <w:p w14:paraId="342A7C96">
      <w:pPr>
        <w:shd w:val="clear"/>
        <w:spacing w:line="560" w:lineRule="exact"/>
        <w:ind w:left="5" w:firstLine="518" w:firstLineChars="216"/>
        <w:rPr>
          <w:rFonts w:hint="eastAsia" w:ascii="宋体" w:hAnsi="宋体" w:cs="宋体"/>
          <w:color w:val="auto"/>
          <w:sz w:val="24"/>
          <w:highlight w:val="none"/>
        </w:rPr>
      </w:pPr>
    </w:p>
    <w:p w14:paraId="5CFA4E32">
      <w:pPr>
        <w:shd w:val="clear"/>
        <w:spacing w:line="560" w:lineRule="exact"/>
        <w:ind w:left="5" w:firstLine="518" w:firstLineChars="216"/>
        <w:jc w:val="right"/>
        <w:rPr>
          <w:rFonts w:hint="eastAsia" w:ascii="宋体" w:hAnsi="宋体" w:cs="宋体"/>
          <w:color w:val="auto"/>
          <w:sz w:val="24"/>
          <w:highlight w:val="none"/>
        </w:rPr>
      </w:pPr>
      <w:r>
        <w:rPr>
          <w:rFonts w:ascii="宋体" w:hAnsi="宋体" w:cs="宋体"/>
          <w:color w:val="auto"/>
          <w:sz w:val="24"/>
          <w:highlight w:val="none"/>
        </w:rPr>
        <w:t>企业名称（盖章）：</w:t>
      </w:r>
    </w:p>
    <w:p w14:paraId="0996CDDA">
      <w:pPr>
        <w:shd w:val="clear"/>
        <w:spacing w:line="560" w:lineRule="exact"/>
        <w:ind w:left="5" w:firstLine="518" w:firstLineChars="216"/>
        <w:jc w:val="right"/>
        <w:rPr>
          <w:rFonts w:hint="eastAsia" w:ascii="宋体" w:hAnsi="宋体" w:cs="宋体"/>
          <w:color w:val="auto"/>
          <w:sz w:val="24"/>
          <w:highlight w:val="none"/>
        </w:rPr>
      </w:pPr>
      <w:r>
        <w:rPr>
          <w:rFonts w:ascii="宋体" w:hAnsi="宋体" w:cs="宋体"/>
          <w:color w:val="auto"/>
          <w:sz w:val="24"/>
          <w:highlight w:val="none"/>
        </w:rPr>
        <w:t xml:space="preserve"> 日 期： </w:t>
      </w:r>
    </w:p>
    <w:p w14:paraId="7963D712">
      <w:pPr>
        <w:shd w:val="clear"/>
        <w:spacing w:line="560" w:lineRule="exact"/>
        <w:ind w:left="5" w:firstLine="518" w:firstLineChars="216"/>
        <w:rPr>
          <w:rFonts w:hint="eastAsia" w:ascii="宋体" w:hAnsi="宋体" w:cs="宋体"/>
          <w:color w:val="auto"/>
          <w:sz w:val="24"/>
          <w:highlight w:val="none"/>
        </w:rPr>
      </w:pPr>
      <w:r>
        <w:rPr>
          <w:rFonts w:hint="eastAsia" w:ascii="宋体" w:hAnsi="宋体" w:cs="宋体"/>
          <w:color w:val="auto"/>
          <w:sz w:val="24"/>
          <w:highlight w:val="none"/>
        </w:rPr>
        <w:t>注：1、</w:t>
      </w:r>
      <w:r>
        <w:rPr>
          <w:rFonts w:ascii="宋体" w:hAnsi="宋体" w:cs="宋体"/>
          <w:color w:val="auto"/>
          <w:sz w:val="24"/>
          <w:highlight w:val="none"/>
        </w:rPr>
        <w:t>从业人员、营业收入、资产总额填报上一年度数据，无上一年度数据的新成立企业可不填报。</w:t>
      </w:r>
    </w:p>
    <w:p w14:paraId="063EB432">
      <w:pPr>
        <w:pStyle w:val="27"/>
        <w:shd w:val="clear"/>
        <w:ind w:firstLine="480"/>
        <w:rPr>
          <w:rFonts w:ascii="宋体"/>
          <w:color w:val="auto"/>
          <w:highlight w:val="none"/>
        </w:rPr>
      </w:pPr>
      <w:r>
        <w:rPr>
          <w:rFonts w:hint="eastAsia" w:ascii="宋体" w:hAnsi="宋体" w:cs="宋体"/>
          <w:color w:val="auto"/>
          <w:sz w:val="24"/>
          <w:highlight w:val="none"/>
        </w:rPr>
        <w:t>2、供应商提供的声明函将在中标后随中标公告一并公示，若声明函内容不实的，将依照《政府采购法》等国家有关规定追究相应责任。</w:t>
      </w:r>
      <w:bookmarkStart w:id="64" w:name="_Toc12390"/>
      <w:bookmarkStart w:id="65" w:name="_Toc352061202"/>
      <w:bookmarkStart w:id="66" w:name="_Toc309736882"/>
    </w:p>
    <w:bookmarkEnd w:id="64"/>
    <w:bookmarkEnd w:id="65"/>
    <w:bookmarkEnd w:id="66"/>
    <w:p w14:paraId="2E938FF2">
      <w:pPr>
        <w:widowControl/>
        <w:shd w:val="clear"/>
        <w:tabs>
          <w:tab w:val="left" w:pos="735"/>
        </w:tabs>
        <w:spacing w:line="360" w:lineRule="auto"/>
        <w:rPr>
          <w:rFonts w:hint="eastAsia" w:ascii="宋体" w:hAnsi="宋体"/>
          <w:b/>
          <w:color w:val="auto"/>
          <w:sz w:val="28"/>
          <w:szCs w:val="28"/>
          <w:highlight w:val="none"/>
        </w:rPr>
      </w:pPr>
    </w:p>
    <w:p w14:paraId="6E061014">
      <w:pPr>
        <w:pStyle w:val="47"/>
        <w:framePr w:wrap="around"/>
        <w:shd w:val="clear"/>
        <w:rPr>
          <w:rFonts w:hint="eastAsia" w:ascii="宋体" w:hAnsi="宋体"/>
          <w:b/>
          <w:color w:val="auto"/>
          <w:sz w:val="28"/>
          <w:szCs w:val="28"/>
          <w:highlight w:val="none"/>
        </w:rPr>
      </w:pPr>
    </w:p>
    <w:p w14:paraId="79A3AEF2">
      <w:pPr>
        <w:pStyle w:val="10"/>
        <w:shd w:val="clear"/>
        <w:ind w:firstLine="420"/>
        <w:rPr>
          <w:color w:val="auto"/>
          <w:highlight w:val="none"/>
        </w:rPr>
      </w:pPr>
    </w:p>
    <w:p w14:paraId="177B7879">
      <w:pPr>
        <w:widowControl/>
        <w:shd w:val="clear"/>
        <w:tabs>
          <w:tab w:val="left" w:pos="735"/>
        </w:tabs>
        <w:spacing w:line="360" w:lineRule="auto"/>
        <w:rPr>
          <w:rFonts w:hint="eastAsia" w:ascii="宋体" w:hAnsi="宋体"/>
          <w:color w:val="auto"/>
          <w:kern w:val="0"/>
          <w:sz w:val="24"/>
          <w:highlight w:val="none"/>
        </w:rPr>
      </w:pPr>
      <w:r>
        <w:rPr>
          <w:rFonts w:hint="eastAsia" w:ascii="宋体" w:hAnsi="宋体"/>
          <w:b/>
          <w:color w:val="auto"/>
          <w:sz w:val="28"/>
          <w:szCs w:val="28"/>
          <w:highlight w:val="none"/>
        </w:rPr>
        <w:t>附件9：</w:t>
      </w:r>
    </w:p>
    <w:p w14:paraId="76C9657D">
      <w:pPr>
        <w:shd w:val="clear"/>
        <w:spacing w:line="360" w:lineRule="auto"/>
        <w:ind w:firstLine="562" w:firstLineChars="200"/>
        <w:jc w:val="center"/>
        <w:rPr>
          <w:b/>
          <w:bCs/>
          <w:color w:val="auto"/>
          <w:sz w:val="28"/>
          <w:szCs w:val="28"/>
          <w:highlight w:val="none"/>
        </w:rPr>
      </w:pPr>
      <w:bookmarkStart w:id="67" w:name="_Toc30170"/>
      <w:bookmarkStart w:id="68" w:name="_Toc14292"/>
    </w:p>
    <w:p w14:paraId="27475AB5">
      <w:pPr>
        <w:shd w:val="clear"/>
        <w:spacing w:line="360" w:lineRule="auto"/>
        <w:ind w:firstLine="562" w:firstLineChars="200"/>
        <w:jc w:val="center"/>
        <w:rPr>
          <w:b/>
          <w:bCs/>
          <w:color w:val="auto"/>
          <w:sz w:val="28"/>
          <w:szCs w:val="28"/>
          <w:highlight w:val="none"/>
        </w:rPr>
      </w:pPr>
      <w:r>
        <w:rPr>
          <w:rFonts w:hint="eastAsia"/>
          <w:b/>
          <w:bCs/>
          <w:color w:val="auto"/>
          <w:sz w:val="28"/>
          <w:szCs w:val="28"/>
          <w:highlight w:val="none"/>
        </w:rPr>
        <w:t>残疾人福利性单位声明函（如有）</w:t>
      </w:r>
    </w:p>
    <w:bookmarkEnd w:id="67"/>
    <w:bookmarkEnd w:id="68"/>
    <w:p w14:paraId="3EB21367">
      <w:pPr>
        <w:shd w:val="clear"/>
        <w:spacing w:line="588" w:lineRule="exact"/>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单位的</w:t>
      </w:r>
      <w:r>
        <w:rPr>
          <w:rFonts w:hint="eastAsia" w:ascii="宋体" w:hAnsi="宋体"/>
          <w:color w:val="auto"/>
          <w:spacing w:val="6"/>
          <w:sz w:val="24"/>
          <w:highlight w:val="none"/>
          <w:u w:val="single"/>
        </w:rPr>
        <w:t xml:space="preserve">                      </w:t>
      </w:r>
      <w:r>
        <w:rPr>
          <w:rFonts w:hint="eastAsia" w:ascii="宋体" w:hAnsi="宋体"/>
          <w:color w:val="auto"/>
          <w:spacing w:val="6"/>
          <w:sz w:val="24"/>
          <w:highlight w:val="none"/>
        </w:rPr>
        <w:t>项目采购活动提供本单位的服务，或者提供其他残疾人福利性单位的服务。</w:t>
      </w:r>
    </w:p>
    <w:p w14:paraId="39045F66">
      <w:pPr>
        <w:shd w:val="clear"/>
        <w:spacing w:line="588" w:lineRule="exact"/>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4F57F827">
      <w:pPr>
        <w:shd w:val="clear"/>
        <w:spacing w:line="588" w:lineRule="exact"/>
        <w:ind w:firstLine="504" w:firstLineChars="200"/>
        <w:rPr>
          <w:rFonts w:ascii="宋体" w:hAnsi="宋体"/>
          <w:color w:val="auto"/>
          <w:spacing w:val="6"/>
          <w:sz w:val="24"/>
          <w:highlight w:val="none"/>
        </w:rPr>
      </w:pPr>
    </w:p>
    <w:p w14:paraId="4F0C32EF">
      <w:pPr>
        <w:shd w:val="clear"/>
        <w:spacing w:line="588" w:lineRule="exact"/>
        <w:ind w:firstLine="504" w:firstLineChars="200"/>
        <w:rPr>
          <w:rFonts w:ascii="宋体" w:hAnsi="宋体"/>
          <w:color w:val="auto"/>
          <w:spacing w:val="6"/>
          <w:sz w:val="24"/>
          <w:highlight w:val="none"/>
        </w:rPr>
      </w:pPr>
    </w:p>
    <w:p w14:paraId="170EFD83">
      <w:pPr>
        <w:shd w:val="clear"/>
        <w:spacing w:line="360" w:lineRule="auto"/>
        <w:rPr>
          <w:rFonts w:ascii="宋体" w:hAnsi="宋体"/>
          <w:color w:val="auto"/>
          <w:sz w:val="24"/>
          <w:highlight w:val="none"/>
          <w:u w:val="single"/>
        </w:rPr>
      </w:pPr>
      <w:r>
        <w:rPr>
          <w:rFonts w:hint="eastAsia" w:ascii="宋体" w:hAnsi="宋体"/>
          <w:color w:val="auto"/>
          <w:spacing w:val="6"/>
          <w:sz w:val="24"/>
          <w:highlight w:val="none"/>
        </w:rPr>
        <w:t xml:space="preserve">               </w:t>
      </w:r>
      <w:r>
        <w:rPr>
          <w:rFonts w:hint="eastAsia" w:ascii="宋体" w:hAnsi="宋体"/>
          <w:color w:val="auto"/>
          <w:sz w:val="24"/>
          <w:highlight w:val="none"/>
        </w:rPr>
        <w:t xml:space="preserve">  供应商名称</w:t>
      </w:r>
      <w:r>
        <w:rPr>
          <w:rFonts w:hint="eastAsia" w:ascii="宋体" w:hAnsi="宋体" w:cs="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（单位盖章）</w:t>
      </w:r>
    </w:p>
    <w:p w14:paraId="0FE1288D">
      <w:pPr>
        <w:shd w:val="clear"/>
        <w:spacing w:line="360" w:lineRule="auto"/>
        <w:ind w:firstLine="4440" w:firstLineChars="1850"/>
        <w:rPr>
          <w:b/>
          <w:bCs/>
          <w:color w:val="auto"/>
          <w:sz w:val="22"/>
          <w:szCs w:val="28"/>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1DC6CBD">
      <w:pPr>
        <w:shd w:val="clear"/>
        <w:tabs>
          <w:tab w:val="left" w:pos="4860"/>
        </w:tabs>
        <w:spacing w:line="588" w:lineRule="exact"/>
        <w:ind w:right="1560" w:firstLine="504" w:firstLineChars="200"/>
        <w:jc w:val="center"/>
        <w:rPr>
          <w:rFonts w:ascii="宋体" w:hAnsi="宋体"/>
          <w:color w:val="auto"/>
          <w:spacing w:val="6"/>
          <w:sz w:val="24"/>
          <w:highlight w:val="none"/>
        </w:rPr>
      </w:pPr>
    </w:p>
    <w:p w14:paraId="22CB23AE">
      <w:pPr>
        <w:pStyle w:val="23"/>
        <w:widowControl w:val="0"/>
        <w:shd w:val="clear"/>
        <w:spacing w:before="0" w:beforeAutospacing="0" w:after="0" w:afterAutospacing="0" w:line="546" w:lineRule="exact"/>
        <w:jc w:val="both"/>
        <w:rPr>
          <w:rFonts w:cs="Times New Roman"/>
          <w:color w:val="auto"/>
          <w:kern w:val="2"/>
          <w:highlight w:val="none"/>
        </w:rPr>
      </w:pPr>
    </w:p>
    <w:p w14:paraId="3220DE31">
      <w:pPr>
        <w:pStyle w:val="23"/>
        <w:widowControl w:val="0"/>
        <w:shd w:val="clear"/>
        <w:spacing w:before="0" w:beforeAutospacing="0" w:after="0" w:afterAutospacing="0" w:line="546" w:lineRule="exact"/>
        <w:ind w:firstLine="480" w:firstLineChars="200"/>
        <w:jc w:val="both"/>
        <w:rPr>
          <w:rFonts w:cs="Times New Roman"/>
          <w:color w:val="auto"/>
          <w:kern w:val="2"/>
          <w:highlight w:val="none"/>
        </w:rPr>
      </w:pPr>
      <w:r>
        <w:rPr>
          <w:rFonts w:hint="eastAsia" w:cs="Times New Roman"/>
          <w:color w:val="auto"/>
          <w:kern w:val="2"/>
          <w:highlight w:val="none"/>
        </w:rPr>
        <w:t>注：根据企业自身情况，填写此表；</w:t>
      </w:r>
    </w:p>
    <w:p w14:paraId="5B3F566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0"/>
        <w:jc w:val="center"/>
        <w:rPr>
          <w:rFonts w:hint="eastAsia"/>
          <w:color w:val="auto"/>
          <w:highlight w:val="none"/>
        </w:rPr>
      </w:pPr>
      <w:r>
        <w:rPr>
          <w:rFonts w:hint="eastAsia"/>
          <w:color w:val="auto"/>
          <w:highlight w:val="none"/>
        </w:rPr>
        <w:br w:type="page"/>
      </w:r>
    </w:p>
    <w:p w14:paraId="5214192E">
      <w:pPr>
        <w:widowControl/>
        <w:shd w:val="clear"/>
        <w:tabs>
          <w:tab w:val="left" w:pos="735"/>
        </w:tabs>
        <w:spacing w:line="360" w:lineRule="auto"/>
        <w:rPr>
          <w:b/>
          <w:color w:val="auto"/>
          <w:sz w:val="32"/>
          <w:szCs w:val="32"/>
          <w:highlight w:val="none"/>
        </w:rPr>
      </w:pPr>
      <w:r>
        <w:rPr>
          <w:rFonts w:hint="eastAsia" w:ascii="宋体" w:hAnsi="宋体"/>
          <w:b/>
          <w:color w:val="auto"/>
          <w:sz w:val="28"/>
          <w:szCs w:val="28"/>
          <w:highlight w:val="none"/>
        </w:rPr>
        <w:t>附件10：</w:t>
      </w:r>
    </w:p>
    <w:p w14:paraId="3C6998FB">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0"/>
        <w:jc w:val="center"/>
        <w:rPr>
          <w:rFonts w:hint="eastAsia"/>
          <w:color w:val="auto"/>
          <w:highlight w:val="none"/>
        </w:rPr>
      </w:pPr>
    </w:p>
    <w:p w14:paraId="5E73BCD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0"/>
        <w:jc w:val="center"/>
        <w:rPr>
          <w:rFonts w:hint="eastAsia" w:ascii="宋体" w:hAnsi="宋体" w:cs="宋体"/>
          <w:color w:val="auto"/>
          <w:kern w:val="0"/>
          <w:sz w:val="32"/>
          <w:szCs w:val="32"/>
          <w:highlight w:val="none"/>
        </w:rPr>
      </w:pPr>
      <w:r>
        <w:rPr>
          <w:rFonts w:hint="eastAsia" w:ascii="宋体" w:hAnsi="宋体" w:cs="宋体"/>
          <w:b/>
          <w:bCs/>
          <w:color w:val="auto"/>
          <w:kern w:val="0"/>
          <w:sz w:val="32"/>
          <w:szCs w:val="32"/>
          <w:highlight w:val="none"/>
          <w:shd w:val="clear" w:color="auto" w:fill="FFFFFF"/>
        </w:rPr>
        <w:t>关于符合本国产品标准的声明函</w:t>
      </w:r>
    </w:p>
    <w:p w14:paraId="5AE90C0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Cs w:val="21"/>
          <w:highlight w:val="none"/>
        </w:rPr>
      </w:pPr>
    </w:p>
    <w:p w14:paraId="41DAAF8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6E987F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w:t>
      </w:r>
      <w:r>
        <w:rPr>
          <w:rFonts w:hint="eastAsia" w:ascii="宋体" w:hAnsi="宋体" w:cs="宋体"/>
          <w:color w:val="auto"/>
          <w:kern w:val="0"/>
          <w:szCs w:val="21"/>
          <w:highlight w:val="none"/>
          <w:u w:val="single"/>
          <w:shd w:val="clear" w:color="auto" w:fill="FFFFFF"/>
        </w:rPr>
        <w:t>（产品名称1）</w:t>
      </w:r>
      <w:r>
        <w:rPr>
          <w:rFonts w:hint="eastAsia" w:ascii="宋体" w:hAnsi="宋体" w:cs="宋体"/>
          <w:color w:val="auto"/>
          <w:kern w:val="0"/>
          <w:szCs w:val="21"/>
          <w:highlight w:val="none"/>
          <w:u w:val="single"/>
          <w:shd w:val="clear" w:color="auto" w:fill="FFFFFF"/>
          <w:vertAlign w:val="superscript"/>
        </w:rPr>
        <w:t>1</w:t>
      </w:r>
      <w:r>
        <w:rPr>
          <w:rFonts w:hint="eastAsia" w:ascii="宋体" w:hAnsi="宋体" w:cs="宋体"/>
          <w:color w:val="auto"/>
          <w:kern w:val="0"/>
          <w:szCs w:val="21"/>
          <w:highlight w:val="none"/>
          <w:shd w:val="clear" w:color="auto" w:fill="FFFFFF"/>
        </w:rPr>
        <w:t>，生产厂为</w:t>
      </w:r>
      <w:r>
        <w:rPr>
          <w:rFonts w:hint="eastAsia" w:ascii="宋体" w:hAnsi="宋体" w:cs="宋体"/>
          <w:color w:val="auto"/>
          <w:kern w:val="0"/>
          <w:szCs w:val="21"/>
          <w:highlight w:val="none"/>
          <w:u w:val="single"/>
          <w:shd w:val="clear" w:color="auto" w:fill="FFFFFF"/>
        </w:rPr>
        <w:t>（厂名）</w:t>
      </w:r>
      <w:r>
        <w:rPr>
          <w:rFonts w:hint="eastAsia" w:ascii="宋体" w:hAnsi="宋体" w:cs="宋体"/>
          <w:color w:val="auto"/>
          <w:kern w:val="0"/>
          <w:szCs w:val="21"/>
          <w:highlight w:val="none"/>
          <w:shd w:val="clear" w:color="auto" w:fill="FFFFFF"/>
          <w:vertAlign w:val="superscript"/>
        </w:rPr>
        <w:t>2</w:t>
      </w:r>
      <w:r>
        <w:rPr>
          <w:rFonts w:hint="eastAsia" w:ascii="宋体" w:hAnsi="宋体" w:cs="宋体"/>
          <w:color w:val="auto"/>
          <w:kern w:val="0"/>
          <w:szCs w:val="21"/>
          <w:highlight w:val="none"/>
          <w:shd w:val="clear" w:color="auto" w:fill="FFFFFF"/>
        </w:rPr>
        <w:t>，厂址为</w:t>
      </w:r>
      <w:r>
        <w:rPr>
          <w:rFonts w:hint="eastAsia" w:ascii="宋体" w:hAnsi="宋体" w:cs="宋体"/>
          <w:color w:val="auto"/>
          <w:kern w:val="0"/>
          <w:szCs w:val="21"/>
          <w:highlight w:val="none"/>
          <w:u w:val="single"/>
          <w:shd w:val="clear" w:color="auto" w:fill="FFFFFF"/>
        </w:rPr>
        <w:t>（生产厂址）</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u w:val="single"/>
          <w:shd w:val="clear" w:color="auto" w:fill="FFFFFF"/>
        </w:rPr>
        <w:t>（产品名称1）</w:t>
      </w:r>
      <w:r>
        <w:rPr>
          <w:rFonts w:hint="eastAsia" w:ascii="宋体" w:hAnsi="宋体" w:cs="宋体"/>
          <w:color w:val="auto"/>
          <w:kern w:val="0"/>
          <w:szCs w:val="21"/>
          <w:highlight w:val="none"/>
          <w:shd w:val="clear" w:color="auto" w:fill="FFFFFF"/>
        </w:rPr>
        <w:t>的中国境内生产的组件成本占比≥（规定比例）</w:t>
      </w:r>
      <w:r>
        <w:rPr>
          <w:rFonts w:hint="eastAsia" w:ascii="宋体" w:hAnsi="宋体" w:cs="宋体"/>
          <w:color w:val="auto"/>
          <w:kern w:val="0"/>
          <w:szCs w:val="21"/>
          <w:highlight w:val="none"/>
          <w:shd w:val="clear" w:color="auto" w:fill="FFFFFF"/>
          <w:vertAlign w:val="superscript"/>
        </w:rPr>
        <w:t>3</w:t>
      </w:r>
      <w:r>
        <w:rPr>
          <w:rFonts w:hint="eastAsia" w:ascii="宋体" w:hAnsi="宋体" w:cs="宋体"/>
          <w:color w:val="auto"/>
          <w:kern w:val="0"/>
          <w:szCs w:val="21"/>
          <w:highlight w:val="none"/>
          <w:shd w:val="clear" w:color="auto" w:fill="FFFFFF"/>
        </w:rPr>
        <w:t>。（产品名称1）的（关键组件）</w:t>
      </w:r>
      <w:r>
        <w:rPr>
          <w:rFonts w:hint="eastAsia" w:ascii="宋体" w:hAnsi="宋体" w:cs="宋体"/>
          <w:color w:val="auto"/>
          <w:kern w:val="0"/>
          <w:szCs w:val="21"/>
          <w:highlight w:val="none"/>
          <w:shd w:val="clear" w:color="auto" w:fill="FFFFFF"/>
          <w:vertAlign w:val="superscript"/>
        </w:rPr>
        <w:t>4</w:t>
      </w:r>
      <w:r>
        <w:rPr>
          <w:rFonts w:hint="eastAsia" w:ascii="宋体" w:hAnsi="宋体" w:cs="宋体"/>
          <w:color w:val="auto"/>
          <w:kern w:val="0"/>
          <w:szCs w:val="21"/>
          <w:highlight w:val="none"/>
          <w:shd w:val="clear" w:color="auto" w:fill="FFFFFF"/>
        </w:rPr>
        <w:t>在中国境内生产。（产品名称1）的（关键工序）</w:t>
      </w:r>
      <w:r>
        <w:rPr>
          <w:rFonts w:hint="eastAsia" w:ascii="宋体" w:hAnsi="宋体" w:cs="宋体"/>
          <w:color w:val="auto"/>
          <w:kern w:val="0"/>
          <w:szCs w:val="21"/>
          <w:highlight w:val="none"/>
          <w:shd w:val="clear" w:color="auto" w:fill="FFFFFF"/>
          <w:vertAlign w:val="superscript"/>
        </w:rPr>
        <w:t>5</w:t>
      </w:r>
      <w:r>
        <w:rPr>
          <w:rFonts w:hint="eastAsia" w:ascii="宋体" w:hAnsi="宋体" w:cs="宋体"/>
          <w:color w:val="auto"/>
          <w:kern w:val="0"/>
          <w:szCs w:val="21"/>
          <w:highlight w:val="none"/>
          <w:shd w:val="clear" w:color="auto" w:fill="FFFFFF"/>
        </w:rPr>
        <w:t>在中国境内完成。</w:t>
      </w:r>
    </w:p>
    <w:p w14:paraId="0CFBC924">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w:t>
      </w:r>
      <w:r>
        <w:rPr>
          <w:rFonts w:hint="eastAsia" w:ascii="宋体" w:hAnsi="宋体" w:cs="宋体"/>
          <w:color w:val="auto"/>
          <w:kern w:val="0"/>
          <w:szCs w:val="21"/>
          <w:highlight w:val="none"/>
          <w:u w:val="single"/>
          <w:shd w:val="clear" w:color="auto" w:fill="FFFFFF"/>
        </w:rPr>
        <w:t>（产品名称2）</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u w:val="none"/>
          <w:shd w:val="clear" w:color="auto" w:fill="FFFFFF"/>
        </w:rPr>
        <w:t>生产厂为</w:t>
      </w:r>
      <w:r>
        <w:rPr>
          <w:rFonts w:hint="eastAsia" w:ascii="宋体" w:hAnsi="宋体" w:cs="宋体"/>
          <w:color w:val="auto"/>
          <w:kern w:val="0"/>
          <w:szCs w:val="21"/>
          <w:highlight w:val="none"/>
          <w:u w:val="single"/>
          <w:shd w:val="clear" w:color="auto" w:fill="FFFFFF"/>
        </w:rPr>
        <w:t>（厂名）</w:t>
      </w:r>
      <w:r>
        <w:rPr>
          <w:rFonts w:hint="eastAsia" w:ascii="宋体" w:hAnsi="宋体" w:cs="宋体"/>
          <w:color w:val="auto"/>
          <w:kern w:val="0"/>
          <w:szCs w:val="21"/>
          <w:highlight w:val="none"/>
          <w:shd w:val="clear" w:color="auto" w:fill="FFFFFF"/>
        </w:rPr>
        <w:t>，厂址为</w:t>
      </w:r>
      <w:r>
        <w:rPr>
          <w:rFonts w:hint="eastAsia" w:ascii="宋体" w:hAnsi="宋体" w:cs="宋体"/>
          <w:color w:val="auto"/>
          <w:kern w:val="0"/>
          <w:szCs w:val="21"/>
          <w:highlight w:val="none"/>
          <w:u w:val="single"/>
          <w:shd w:val="clear" w:color="auto" w:fill="FFFFFF"/>
        </w:rPr>
        <w:t>（生产厂址）</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u w:val="single"/>
          <w:shd w:val="clear" w:color="auto" w:fill="FFFFFF"/>
        </w:rPr>
        <w:t>（产品名称2）</w:t>
      </w:r>
      <w:r>
        <w:rPr>
          <w:rFonts w:hint="eastAsia" w:ascii="宋体" w:hAnsi="宋体" w:cs="宋体"/>
          <w:color w:val="auto"/>
          <w:kern w:val="0"/>
          <w:szCs w:val="21"/>
          <w:highlight w:val="none"/>
          <w:shd w:val="clear" w:color="auto" w:fill="FFFFFF"/>
        </w:rPr>
        <w:t>的中国境内生产的组件成本占比≥（规定比例）。（产品名称2）的（关键组件）在中国境内生产。（产品名称2）的（关键工序）在中国境内完成。</w:t>
      </w:r>
    </w:p>
    <w:p w14:paraId="452DC5A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w:t>
      </w:r>
    </w:p>
    <w:p w14:paraId="2BE16F49">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本公司（单位）对上述声明内容的真实性负责。如有虚假，愿承担相应法律责任。</w:t>
      </w:r>
    </w:p>
    <w:p w14:paraId="5A025CF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righ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公司（单位）名称（盖章）：</w:t>
      </w:r>
    </w:p>
    <w:p w14:paraId="7075C58B">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line="360" w:lineRule="auto"/>
        <w:ind w:left="0" w:right="0" w:firstLine="420"/>
        <w:jc w:val="righ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日期：     年    月     日</w:t>
      </w:r>
    </w:p>
    <w:p w14:paraId="3D773E9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ascii="楷体" w:hAnsi="楷体" w:eastAsia="楷体" w:cs="楷体"/>
          <w:color w:val="auto"/>
          <w:kern w:val="0"/>
          <w:szCs w:val="21"/>
          <w:highlight w:val="none"/>
          <w:shd w:val="clear" w:color="auto" w:fill="FFFFFF"/>
        </w:rPr>
      </w:pPr>
    </w:p>
    <w:p w14:paraId="0C776C9F">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ascii="楷体" w:hAnsi="楷体" w:eastAsia="楷体" w:cs="楷体"/>
          <w:color w:val="auto"/>
          <w:kern w:val="0"/>
          <w:szCs w:val="21"/>
          <w:highlight w:val="none"/>
          <w:shd w:val="clear" w:color="auto" w:fill="FFFFFF"/>
        </w:rPr>
      </w:pPr>
    </w:p>
    <w:p w14:paraId="2F665905">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ascii="楷体" w:hAnsi="楷体" w:eastAsia="楷体" w:cs="楷体"/>
          <w:color w:val="auto"/>
          <w:kern w:val="0"/>
          <w:szCs w:val="21"/>
          <w:highlight w:val="none"/>
          <w:shd w:val="clear" w:color="auto" w:fill="FFFFFF"/>
        </w:rPr>
        <w:t>1.产品如有型号，请在“产品名称”栏一并填写。</w:t>
      </w:r>
    </w:p>
    <w:p w14:paraId="180AB1E3">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2.生产厂名与厂址应与生产厂营业执照载明的相关信息保持一致。</w:t>
      </w:r>
    </w:p>
    <w:p w14:paraId="23DF535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3.该产品的中国境内生产的组件成本占比相关要求实施前，“规定比例”栏可不填，下同。</w:t>
      </w:r>
    </w:p>
    <w:p w14:paraId="4AB2BD36">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4.该产品的关键组件要求实施前，“关键组件”栏可不填，下同。</w:t>
      </w:r>
    </w:p>
    <w:p w14:paraId="2B0A832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 w:beforeAutospacing="0" w:after="15" w:afterAutospacing="0"/>
        <w:ind w:left="0" w:right="0" w:firstLine="420"/>
        <w:jc w:val="left"/>
        <w:rPr>
          <w:rFonts w:hint="eastAsia" w:ascii="宋体" w:hAnsi="宋体" w:cs="宋体"/>
          <w:color w:val="auto"/>
          <w:kern w:val="0"/>
          <w:szCs w:val="21"/>
          <w:highlight w:val="none"/>
        </w:rPr>
      </w:pPr>
      <w:r>
        <w:rPr>
          <w:rFonts w:hint="eastAsia" w:ascii="楷体" w:hAnsi="楷体" w:eastAsia="楷体" w:cs="楷体"/>
          <w:color w:val="auto"/>
          <w:kern w:val="0"/>
          <w:szCs w:val="21"/>
          <w:highlight w:val="none"/>
          <w:shd w:val="clear" w:color="auto" w:fill="FFFFFF"/>
        </w:rPr>
        <w:t>5.该产品的关键工序要求实施前，“关键工序”栏可不填，下同。</w:t>
      </w:r>
    </w:p>
    <w:p w14:paraId="6525F645">
      <w:pPr>
        <w:shd w:val="clea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76F939D">
      <w:pPr>
        <w:widowControl/>
        <w:shd w:val="clear"/>
        <w:tabs>
          <w:tab w:val="left" w:pos="735"/>
        </w:tabs>
        <w:spacing w:line="360" w:lineRule="auto"/>
        <w:rPr>
          <w:b/>
          <w:color w:val="auto"/>
          <w:sz w:val="32"/>
          <w:szCs w:val="32"/>
          <w:highlight w:val="none"/>
        </w:rPr>
      </w:pPr>
      <w:r>
        <w:rPr>
          <w:rFonts w:hint="eastAsia" w:ascii="宋体" w:hAnsi="宋体"/>
          <w:b/>
          <w:color w:val="auto"/>
          <w:sz w:val="28"/>
          <w:szCs w:val="28"/>
          <w:highlight w:val="none"/>
        </w:rPr>
        <w:t>附件1</w:t>
      </w:r>
      <w:r>
        <w:rPr>
          <w:rFonts w:hint="eastAsia" w:ascii="宋体" w:hAnsi="宋体"/>
          <w:b/>
          <w:color w:val="auto"/>
          <w:sz w:val="28"/>
          <w:szCs w:val="28"/>
          <w:highlight w:val="none"/>
          <w:lang w:val="en-US" w:eastAsia="zh-CN"/>
        </w:rPr>
        <w:t>1</w:t>
      </w:r>
      <w:r>
        <w:rPr>
          <w:rFonts w:hint="eastAsia" w:ascii="宋体" w:hAnsi="宋体"/>
          <w:b/>
          <w:color w:val="auto"/>
          <w:sz w:val="28"/>
          <w:szCs w:val="28"/>
          <w:highlight w:val="none"/>
        </w:rPr>
        <w:t>：</w:t>
      </w:r>
    </w:p>
    <w:p w14:paraId="0E7EE147">
      <w:pPr>
        <w:shd w:val="clear"/>
        <w:spacing w:line="360" w:lineRule="auto"/>
        <w:ind w:firstLine="643" w:firstLineChars="200"/>
        <w:jc w:val="center"/>
        <w:rPr>
          <w:b/>
          <w:color w:val="auto"/>
          <w:sz w:val="32"/>
          <w:szCs w:val="32"/>
          <w:highlight w:val="none"/>
        </w:rPr>
      </w:pPr>
    </w:p>
    <w:p w14:paraId="3495225B">
      <w:pPr>
        <w:shd w:val="clear"/>
        <w:spacing w:line="360" w:lineRule="auto"/>
        <w:ind w:firstLine="562" w:firstLineChars="200"/>
        <w:jc w:val="center"/>
        <w:rPr>
          <w:b/>
          <w:bCs/>
          <w:color w:val="auto"/>
          <w:sz w:val="28"/>
          <w:szCs w:val="28"/>
          <w:highlight w:val="none"/>
        </w:rPr>
      </w:pPr>
      <w:r>
        <w:rPr>
          <w:rFonts w:hint="eastAsia"/>
          <w:b/>
          <w:bCs/>
          <w:color w:val="auto"/>
          <w:sz w:val="28"/>
          <w:szCs w:val="28"/>
          <w:highlight w:val="none"/>
        </w:rPr>
        <w:t>竞争性谈判文件要求的或供应商认为需要加以说明的其他内容</w:t>
      </w:r>
    </w:p>
    <w:p w14:paraId="5853D46C">
      <w:pPr>
        <w:shd w:val="clear"/>
        <w:spacing w:line="360" w:lineRule="auto"/>
        <w:ind w:firstLine="562" w:firstLineChars="200"/>
        <w:jc w:val="center"/>
        <w:rPr>
          <w:b/>
          <w:bCs/>
          <w:color w:val="auto"/>
          <w:sz w:val="28"/>
          <w:szCs w:val="28"/>
          <w:highlight w:val="none"/>
        </w:rPr>
      </w:pPr>
      <w:r>
        <w:rPr>
          <w:rFonts w:hint="eastAsia"/>
          <w:b/>
          <w:bCs/>
          <w:color w:val="auto"/>
          <w:sz w:val="28"/>
          <w:szCs w:val="28"/>
          <w:highlight w:val="none"/>
        </w:rPr>
        <w:br w:type="page"/>
      </w:r>
    </w:p>
    <w:p w14:paraId="23092B7F">
      <w:pPr>
        <w:pStyle w:val="2"/>
        <w:shd w:val="clear"/>
        <w:spacing w:before="100" w:after="90" w:line="579" w:lineRule="auto"/>
        <w:jc w:val="center"/>
        <w:rPr>
          <w:rFonts w:hint="eastAsia" w:ascii="微软雅黑" w:hAnsi="微软雅黑" w:eastAsia="微软雅黑" w:cs="微软雅黑"/>
          <w:b w:val="0"/>
          <w:bCs w:val="0"/>
          <w:color w:val="auto"/>
          <w:highlight w:val="none"/>
        </w:rPr>
      </w:pPr>
      <w:bookmarkStart w:id="69" w:name="_Toc21790"/>
      <w:r>
        <w:rPr>
          <w:rFonts w:hint="eastAsia" w:ascii="微软雅黑" w:hAnsi="微软雅黑" w:eastAsia="微软雅黑" w:cs="微软雅黑"/>
          <w:b w:val="0"/>
          <w:bCs w:val="0"/>
          <w:color w:val="auto"/>
          <w:highlight w:val="none"/>
        </w:rPr>
        <w:t>优化和提升政府采购政策</w:t>
      </w:r>
      <w:bookmarkEnd w:id="69"/>
    </w:p>
    <w:p w14:paraId="31D66F12">
      <w:pPr>
        <w:shd w:val="clear" w:color="auto"/>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一、全面取消采购文件费用和投标保证金费用。</w:t>
      </w:r>
    </w:p>
    <w:p w14:paraId="0A6FC768">
      <w:pPr>
        <w:shd w:val="clear" w:color="auto"/>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二、免收履约保证金。确因项目需要的，应以保函等非现金形式收取，比例不得超过合同金额的</w:t>
      </w:r>
      <w:r>
        <w:rPr>
          <w:rFonts w:hint="eastAsia" w:ascii="仿宋_GB2312" w:hAnsi="宋体" w:eastAsia="仿宋_GB2312" w:cs="宋体"/>
          <w:color w:val="auto"/>
          <w:sz w:val="28"/>
          <w:szCs w:val="28"/>
          <w:highlight w:val="none"/>
          <w:u w:val="single"/>
        </w:rPr>
        <w:t>6%</w:t>
      </w:r>
      <w:r>
        <w:rPr>
          <w:rFonts w:hint="eastAsia" w:ascii="仿宋_GB2312" w:hAnsi="宋体" w:eastAsia="仿宋_GB2312" w:cs="宋体"/>
          <w:color w:val="auto"/>
          <w:sz w:val="28"/>
          <w:szCs w:val="28"/>
          <w:highlight w:val="none"/>
        </w:rPr>
        <w:t>，并按约定的时间和条件退还。</w:t>
      </w:r>
    </w:p>
    <w:p w14:paraId="7D41874A">
      <w:pPr>
        <w:shd w:val="clear" w:color="auto"/>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三、评标结果确认时限。自评标（评审）结束后应2个工作日内确定中标（成交）供应商，5个工作日内公告结果，同时发送中标（成交）通知书。</w:t>
      </w:r>
    </w:p>
    <w:p w14:paraId="55F03005">
      <w:pPr>
        <w:shd w:val="clear" w:color="auto"/>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四、合同签订时限。自中标（成交）通知书发出之日起</w:t>
      </w:r>
      <w:r>
        <w:rPr>
          <w:rFonts w:hint="eastAsia" w:ascii="仿宋_GB2312" w:hAnsi="宋体" w:eastAsia="仿宋_GB2312" w:cs="宋体"/>
          <w:color w:val="auto"/>
          <w:sz w:val="28"/>
          <w:szCs w:val="28"/>
          <w:highlight w:val="none"/>
          <w:u w:val="single"/>
        </w:rPr>
        <w:t>15</w:t>
      </w:r>
      <w:r>
        <w:rPr>
          <w:rFonts w:hint="eastAsia" w:ascii="仿宋_GB2312" w:hAnsi="宋体" w:eastAsia="仿宋_GB2312" w:cs="宋体"/>
          <w:color w:val="auto"/>
          <w:sz w:val="28"/>
          <w:szCs w:val="28"/>
          <w:highlight w:val="none"/>
        </w:rPr>
        <w:t xml:space="preserve">日内，按照采购文件和投标（响应性）文件确定的事项签订政府采购合同。 </w:t>
      </w:r>
    </w:p>
    <w:p w14:paraId="7A6F1FAE">
      <w:pPr>
        <w:shd w:val="clear" w:color="auto"/>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五、合同公告和备案时限。自合同签订之日起2个工作日内。</w:t>
      </w:r>
    </w:p>
    <w:p w14:paraId="141F5DAF">
      <w:pPr>
        <w:shd w:val="clear" w:color="auto"/>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六、项目验收。自收到供应商项目验收建议之日起5个工作日内组织验收；验收结束后2个工作日内出具《验收报告》，并在焦作市政府采购网公告验收结果。</w:t>
      </w:r>
    </w:p>
    <w:p w14:paraId="1259C5A3">
      <w:pPr>
        <w:shd w:val="clear" w:color="auto"/>
        <w:spacing w:line="360" w:lineRule="auto"/>
        <w:ind w:firstLine="560" w:firstLineChars="200"/>
        <w:rPr>
          <w:rFonts w:hint="eastAsia" w:ascii="仿宋_GB2312" w:hAnsi="宋体" w:eastAsia="仿宋_GB2312" w:cs="宋体"/>
          <w:color w:val="auto"/>
          <w:sz w:val="28"/>
          <w:szCs w:val="28"/>
          <w:highlight w:val="none"/>
        </w:rPr>
      </w:pPr>
      <w:r>
        <w:rPr>
          <w:rFonts w:hint="eastAsia" w:ascii="仿宋_GB2312" w:hAnsi="宋体" w:eastAsia="仿宋_GB2312" w:cs="宋体"/>
          <w:color w:val="auto"/>
          <w:sz w:val="28"/>
          <w:szCs w:val="28"/>
          <w:highlight w:val="none"/>
        </w:rPr>
        <w:t>七、资金支付。按照合同约定的条件及时支付资金，</w:t>
      </w:r>
      <w:r>
        <w:rPr>
          <w:rFonts w:hint="eastAsia" w:ascii="仿宋_GB2312" w:hAnsi="仿宋_GB2312" w:eastAsia="仿宋_GB2312" w:cs="仿宋_GB2312"/>
          <w:color w:val="auto"/>
          <w:sz w:val="28"/>
          <w:szCs w:val="28"/>
          <w:highlight w:val="none"/>
        </w:rPr>
        <w:t>不得因机构变更、人员更替、政策调整等原因拒绝或延迟资金支付</w:t>
      </w:r>
      <w:r>
        <w:rPr>
          <w:rFonts w:hint="eastAsia" w:ascii="仿宋_GB2312" w:hAnsi="宋体" w:eastAsia="仿宋_GB2312" w:cs="宋体"/>
          <w:color w:val="auto"/>
          <w:sz w:val="28"/>
          <w:szCs w:val="28"/>
          <w:highlight w:val="none"/>
        </w:rPr>
        <w:t>。</w:t>
      </w:r>
    </w:p>
    <w:p w14:paraId="18FFC77F">
      <w:pPr>
        <w:shd w:val="clear" w:color="auto"/>
        <w:spacing w:line="360" w:lineRule="auto"/>
        <w:ind w:firstLine="560" w:firstLineChars="200"/>
        <w:rPr>
          <w:rFonts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在政府采购活动中，若发现采购人或采购代理机构未按以上政策执行的，可向监督部门举报反映。</w:t>
      </w:r>
    </w:p>
    <w:p w14:paraId="27951F57">
      <w:pPr>
        <w:shd w:val="clear" w:color="auto"/>
        <w:spacing w:line="360" w:lineRule="auto"/>
        <w:ind w:firstLine="560" w:firstLineChars="200"/>
        <w:rPr>
          <w:rFonts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监督单位：博爱县财政局政府采购监督管理办公室</w:t>
      </w:r>
    </w:p>
    <w:p w14:paraId="1EE01C08">
      <w:pPr>
        <w:shd w:val="clear" w:color="auto"/>
        <w:spacing w:line="360" w:lineRule="auto"/>
        <w:ind w:firstLine="560" w:firstLineChars="200"/>
        <w:rPr>
          <w:rFonts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监督电话：0391-8683273</w:t>
      </w:r>
    </w:p>
    <w:p w14:paraId="16A02711">
      <w:pPr>
        <w:shd w:val="clear" w:color="auto"/>
        <w:spacing w:line="360" w:lineRule="auto"/>
        <w:ind w:firstLine="560" w:firstLineChars="200"/>
        <w:rPr>
          <w:rFonts w:ascii="仿宋_GB2312" w:hAnsi="Arial" w:eastAsia="仿宋_GB2312" w:cs="Arial"/>
          <w:color w:val="auto"/>
          <w:sz w:val="28"/>
          <w:szCs w:val="28"/>
          <w:highlight w:val="none"/>
          <w:shd w:val="clear" w:color="auto" w:fill="FFFFFF"/>
        </w:rPr>
      </w:pPr>
      <w:r>
        <w:rPr>
          <w:rFonts w:hint="eastAsia" w:ascii="仿宋_GB2312" w:hAnsi="Arial" w:eastAsia="仿宋_GB2312" w:cs="Arial"/>
          <w:color w:val="auto"/>
          <w:sz w:val="28"/>
          <w:szCs w:val="28"/>
          <w:highlight w:val="none"/>
          <w:shd w:val="clear" w:color="auto" w:fill="FFFFFF"/>
        </w:rPr>
        <w:t>地址：博爱县发展大道188号机关综合办公楼主楼1213室</w:t>
      </w:r>
    </w:p>
    <w:p w14:paraId="19076795">
      <w:pPr>
        <w:shd w:val="clear"/>
        <w:spacing w:line="360" w:lineRule="auto"/>
        <w:ind w:firstLine="883" w:firstLineChars="200"/>
        <w:jc w:val="center"/>
        <w:rPr>
          <w:rFonts w:hint="eastAsia" w:ascii="宋体" w:hAnsi="宋体" w:cs="宋体"/>
          <w:b/>
          <w:color w:val="auto"/>
          <w:sz w:val="44"/>
          <w:szCs w:val="44"/>
          <w:highlight w:val="none"/>
        </w:rPr>
      </w:pPr>
    </w:p>
    <w:p w14:paraId="4C1D7FA4">
      <w:pPr>
        <w:pStyle w:val="47"/>
        <w:framePr w:wrap="around"/>
        <w:shd w:val="clear"/>
        <w:rPr>
          <w:rFonts w:hint="eastAsia" w:ascii="宋体" w:hAnsi="宋体" w:cs="宋体"/>
          <w:b/>
          <w:color w:val="auto"/>
          <w:sz w:val="44"/>
          <w:szCs w:val="44"/>
          <w:highlight w:val="none"/>
        </w:rPr>
      </w:pPr>
    </w:p>
    <w:p w14:paraId="22B69F7B">
      <w:pPr>
        <w:pStyle w:val="10"/>
        <w:shd w:val="clear"/>
        <w:ind w:firstLine="420"/>
        <w:rPr>
          <w:color w:val="auto"/>
          <w:highlight w:val="none"/>
        </w:rPr>
      </w:pPr>
    </w:p>
    <w:p w14:paraId="5310F08C">
      <w:pPr>
        <w:pStyle w:val="2"/>
        <w:shd w:val="clear"/>
        <w:spacing w:before="100" w:after="90" w:line="579" w:lineRule="auto"/>
        <w:jc w:val="center"/>
        <w:rPr>
          <w:rFonts w:hint="eastAsia" w:ascii="微软雅黑" w:hAnsi="微软雅黑" w:eastAsia="微软雅黑" w:cs="微软雅黑"/>
          <w:b w:val="0"/>
          <w:bCs w:val="0"/>
          <w:color w:val="auto"/>
          <w:highlight w:val="none"/>
        </w:rPr>
      </w:pPr>
      <w:bookmarkStart w:id="70" w:name="_Toc11991"/>
      <w:r>
        <w:rPr>
          <w:rFonts w:hint="eastAsia" w:ascii="微软雅黑" w:hAnsi="微软雅黑" w:eastAsia="微软雅黑" w:cs="微软雅黑"/>
          <w:b w:val="0"/>
          <w:bCs w:val="0"/>
          <w:color w:val="auto"/>
          <w:highlight w:val="none"/>
        </w:rPr>
        <w:t>政府采购合同融资政策</w:t>
      </w:r>
      <w:bookmarkEnd w:id="70"/>
    </w:p>
    <w:p w14:paraId="4BE913E9">
      <w:pPr>
        <w:shd w:val="clear"/>
        <w:spacing w:line="360" w:lineRule="auto"/>
        <w:ind w:firstLine="600" w:firstLineChars="200"/>
        <w:rPr>
          <w:rFonts w:ascii="仿宋_GB2312" w:eastAsia="仿宋_GB2312"/>
          <w:color w:val="auto"/>
          <w:sz w:val="30"/>
          <w:szCs w:val="30"/>
          <w:highlight w:val="none"/>
        </w:rPr>
      </w:pPr>
      <w:r>
        <w:rPr>
          <w:rFonts w:hint="eastAsia" w:ascii="仿宋_GB2312" w:hAnsi="宋体" w:eastAsia="仿宋_GB2312" w:cs="宋体"/>
          <w:color w:val="auto"/>
          <w:sz w:val="30"/>
          <w:szCs w:val="30"/>
          <w:highlight w:val="none"/>
        </w:rPr>
        <w:t>为充分发挥政府采购合同资金支付有保障的优势，</w:t>
      </w:r>
      <w:r>
        <w:rPr>
          <w:rFonts w:hint="eastAsia" w:ascii="仿宋_GB2312" w:eastAsia="仿宋_GB2312"/>
          <w:color w:val="auto"/>
          <w:sz w:val="30"/>
          <w:szCs w:val="30"/>
          <w:highlight w:val="none"/>
        </w:rPr>
        <w:t>进一步优化我市营商环境，针对中小微企业融资难、融资贵问题，焦作市财政局联合有关部门推出了</w:t>
      </w:r>
      <w:r>
        <w:rPr>
          <w:rFonts w:ascii="仿宋_GB2312" w:eastAsia="仿宋_GB2312"/>
          <w:color w:val="auto"/>
          <w:sz w:val="30"/>
          <w:szCs w:val="30"/>
          <w:highlight w:val="none"/>
        </w:rPr>
        <w:t>以政府采购</w:t>
      </w:r>
      <w:r>
        <w:rPr>
          <w:rFonts w:hint="eastAsia" w:ascii="仿宋_GB2312" w:eastAsia="仿宋_GB2312"/>
          <w:color w:val="auto"/>
          <w:sz w:val="30"/>
          <w:szCs w:val="30"/>
          <w:highlight w:val="none"/>
        </w:rPr>
        <w:t>合同</w:t>
      </w:r>
      <w:r>
        <w:rPr>
          <w:rFonts w:ascii="仿宋_GB2312" w:eastAsia="仿宋_GB2312"/>
          <w:color w:val="auto"/>
          <w:sz w:val="30"/>
          <w:szCs w:val="30"/>
          <w:highlight w:val="none"/>
        </w:rPr>
        <w:t>预期支付能力为信用</w:t>
      </w:r>
      <w:r>
        <w:rPr>
          <w:rFonts w:hint="eastAsia" w:ascii="仿宋_GB2312" w:eastAsia="仿宋_GB2312"/>
          <w:color w:val="auto"/>
          <w:sz w:val="30"/>
          <w:szCs w:val="30"/>
          <w:highlight w:val="none"/>
        </w:rPr>
        <w:t>的融资政策。</w:t>
      </w:r>
    </w:p>
    <w:p w14:paraId="47AD9E72">
      <w:pPr>
        <w:shd w:val="clear"/>
        <w:spacing w:line="360" w:lineRule="auto"/>
        <w:ind w:firstLine="600" w:firstLineChars="200"/>
        <w:rPr>
          <w:rFonts w:hint="eastAsia" w:ascii="仿宋_GB2312" w:hAnsi="宋体" w:eastAsia="仿宋_GB2312" w:cs="宋体"/>
          <w:color w:val="auto"/>
          <w:sz w:val="30"/>
          <w:szCs w:val="30"/>
          <w:highlight w:val="none"/>
        </w:rPr>
      </w:pPr>
      <w:r>
        <w:rPr>
          <w:rFonts w:hint="eastAsia" w:ascii="仿宋_GB2312" w:hAnsi="宋体" w:eastAsia="仿宋_GB2312" w:cs="宋体"/>
          <w:color w:val="auto"/>
          <w:sz w:val="30"/>
          <w:szCs w:val="30"/>
          <w:highlight w:val="none"/>
        </w:rPr>
        <w:t>政府采购合同融资，是指参与政府采购并中标（成交）的中小微企业供应商，凭借政府采购合同向开展融资业务的服务机构申请融资贷款，融资服务机构以信贷政策为基础提供</w:t>
      </w:r>
      <w:r>
        <w:rPr>
          <w:rFonts w:hint="eastAsia" w:ascii="仿宋_GB2312" w:eastAsia="仿宋_GB2312"/>
          <w:color w:val="auto"/>
          <w:sz w:val="30"/>
          <w:szCs w:val="30"/>
          <w:highlight w:val="none"/>
        </w:rPr>
        <w:t>无抵押、免担保、低利率的的</w:t>
      </w:r>
      <w:r>
        <w:rPr>
          <w:rFonts w:hint="eastAsia" w:ascii="仿宋_GB2312" w:hAnsi="宋体" w:eastAsia="仿宋_GB2312" w:cs="宋体"/>
          <w:color w:val="auto"/>
          <w:sz w:val="30"/>
          <w:szCs w:val="30"/>
          <w:highlight w:val="none"/>
        </w:rPr>
        <w:t>融资产品。</w:t>
      </w:r>
    </w:p>
    <w:p w14:paraId="6AA45C38">
      <w:pPr>
        <w:shd w:val="clear"/>
        <w:spacing w:line="360" w:lineRule="auto"/>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政府采购项目中标（成交）的供应商，有融资意向的，</w:t>
      </w:r>
      <w:r>
        <w:rPr>
          <w:rFonts w:hint="eastAsia" w:ascii="仿宋_GB2312" w:hAnsi="方正仿宋_GBK" w:eastAsia="仿宋_GB2312"/>
          <w:color w:val="auto"/>
          <w:sz w:val="30"/>
          <w:szCs w:val="30"/>
          <w:highlight w:val="none"/>
        </w:rPr>
        <w:t>可登陆“焦作市政府采购网”（网址：</w:t>
      </w:r>
      <w:r>
        <w:rPr>
          <w:color w:val="auto"/>
          <w:highlight w:val="none"/>
        </w:rPr>
        <w:fldChar w:fldCharType="begin"/>
      </w:r>
      <w:r>
        <w:rPr>
          <w:color w:val="auto"/>
          <w:highlight w:val="none"/>
        </w:rPr>
        <w:instrText xml:space="preserve"> HYPERLINK "http://jiaozuo.hngp.gov.cn）de" </w:instrText>
      </w:r>
      <w:r>
        <w:rPr>
          <w:color w:val="auto"/>
          <w:highlight w:val="none"/>
        </w:rPr>
        <w:fldChar w:fldCharType="separate"/>
      </w:r>
      <w:r>
        <w:rPr>
          <w:rStyle w:val="38"/>
          <w:rFonts w:ascii="仿宋_GB2312" w:hAnsi="方正仿宋_GBK"/>
          <w:color w:val="auto"/>
          <w:sz w:val="30"/>
          <w:szCs w:val="30"/>
          <w:highlight w:val="none"/>
        </w:rPr>
        <w:t>http://jiaozuo.hngp.gov.cn</w:t>
      </w:r>
      <w:r>
        <w:rPr>
          <w:rStyle w:val="38"/>
          <w:rFonts w:hint="eastAsia" w:ascii="仿宋_GB2312" w:hAnsi="方正仿宋_GBK"/>
          <w:color w:val="auto"/>
          <w:sz w:val="30"/>
          <w:szCs w:val="30"/>
          <w:highlight w:val="none"/>
        </w:rPr>
        <w:t>）</w:t>
      </w:r>
      <w:r>
        <w:rPr>
          <w:rStyle w:val="38"/>
          <w:rFonts w:hint="eastAsia" w:ascii="仿宋_GB2312" w:hAnsi="方正仿宋_GBK"/>
          <w:color w:val="auto"/>
          <w:sz w:val="30"/>
          <w:szCs w:val="30"/>
          <w:highlight w:val="none"/>
        </w:rPr>
        <w:fldChar w:fldCharType="end"/>
      </w:r>
      <w:r>
        <w:rPr>
          <w:rFonts w:hint="eastAsia" w:ascii="仿宋_GB2312" w:hAnsi="方正仿宋_GBK" w:eastAsia="仿宋_GB2312"/>
          <w:color w:val="auto"/>
          <w:sz w:val="30"/>
          <w:szCs w:val="30"/>
          <w:highlight w:val="none"/>
        </w:rPr>
        <w:t>的政府采购合同融资平台，查看各融资服务机构的融资产品，同时可在线</w:t>
      </w:r>
      <w:r>
        <w:rPr>
          <w:rFonts w:hint="eastAsia" w:ascii="仿宋_GB2312" w:eastAsia="仿宋_GB2312"/>
          <w:color w:val="auto"/>
          <w:sz w:val="30"/>
          <w:szCs w:val="30"/>
          <w:highlight w:val="none"/>
        </w:rPr>
        <w:t>向融资服务机构申请贷款，</w:t>
      </w:r>
      <w:r>
        <w:rPr>
          <w:rFonts w:hint="eastAsia" w:ascii="仿宋_GB2312" w:hAnsi="宋体" w:eastAsia="仿宋_GB2312" w:cs="宋体"/>
          <w:color w:val="auto"/>
          <w:sz w:val="30"/>
          <w:szCs w:val="30"/>
          <w:highlight w:val="none"/>
        </w:rPr>
        <w:t>融资服务机构</w:t>
      </w:r>
      <w:r>
        <w:rPr>
          <w:rFonts w:hint="eastAsia" w:ascii="仿宋_GB2312" w:eastAsia="仿宋_GB2312"/>
          <w:color w:val="auto"/>
          <w:sz w:val="30"/>
          <w:szCs w:val="30"/>
          <w:highlight w:val="none"/>
        </w:rPr>
        <w:t>按照</w:t>
      </w:r>
      <w:r>
        <w:rPr>
          <w:rFonts w:hint="eastAsia" w:ascii="仿宋_GB2312" w:hAnsi="方正仿宋_GBK" w:eastAsia="仿宋_GB2312"/>
          <w:color w:val="auto"/>
          <w:sz w:val="30"/>
          <w:szCs w:val="30"/>
          <w:highlight w:val="none"/>
        </w:rPr>
        <w:t>程序</w:t>
      </w:r>
      <w:r>
        <w:rPr>
          <w:rFonts w:hint="eastAsia" w:ascii="仿宋_GB2312" w:eastAsia="仿宋_GB2312"/>
          <w:color w:val="auto"/>
          <w:sz w:val="30"/>
          <w:szCs w:val="30"/>
          <w:highlight w:val="none"/>
        </w:rPr>
        <w:t>向您提供便捷、高效、优惠的贷款服务。</w:t>
      </w:r>
    </w:p>
    <w:p w14:paraId="3E72C442">
      <w:pPr>
        <w:shd w:val="clear"/>
        <w:rPr>
          <w:color w:val="auto"/>
          <w:highlight w:val="none"/>
        </w:rPr>
      </w:pPr>
    </w:p>
    <w:p w14:paraId="53DFF1BD">
      <w:pPr>
        <w:shd w:val="clear"/>
        <w:rPr>
          <w:color w:val="auto"/>
          <w:highlight w:val="none"/>
        </w:rPr>
      </w:pPr>
    </w:p>
    <w:p w14:paraId="5149D0BA">
      <w:pPr>
        <w:shd w:val="clear"/>
        <w:rPr>
          <w:rFonts w:ascii="仿宋_GB2312" w:eastAsia="仿宋_GB2312"/>
          <w:color w:val="auto"/>
          <w:sz w:val="32"/>
          <w:szCs w:val="32"/>
          <w:highlight w:val="none"/>
        </w:rPr>
      </w:pPr>
    </w:p>
    <w:p w14:paraId="17D94D15">
      <w:pPr>
        <w:pStyle w:val="2"/>
        <w:shd w:val="clear"/>
        <w:spacing w:before="100" w:after="90" w:line="579" w:lineRule="auto"/>
        <w:jc w:val="center"/>
        <w:rPr>
          <w:rFonts w:hint="eastAsia" w:ascii="微软雅黑" w:hAnsi="微软雅黑" w:eastAsia="微软雅黑" w:cs="微软雅黑"/>
          <w:b w:val="0"/>
          <w:bCs w:val="0"/>
          <w:color w:val="auto"/>
          <w:highlight w:val="none"/>
        </w:rPr>
      </w:pPr>
      <w:bookmarkStart w:id="71" w:name="_Toc31054"/>
      <w:r>
        <w:rPr>
          <w:rFonts w:hint="eastAsia" w:ascii="微软雅黑" w:hAnsi="微软雅黑" w:eastAsia="微软雅黑" w:cs="微软雅黑"/>
          <w:b w:val="0"/>
          <w:bCs w:val="0"/>
          <w:color w:val="auto"/>
          <w:highlight w:val="none"/>
        </w:rPr>
        <w:t>政府采购合同融资操作流</w:t>
      </w:r>
      <w:bookmarkEnd w:id="71"/>
    </w:p>
    <w:p w14:paraId="3C0EE614">
      <w:pPr>
        <w:widowControl/>
        <w:shd w:val="clear" w:color="auto"/>
        <w:tabs>
          <w:tab w:val="left" w:pos="0"/>
        </w:tabs>
        <w:spacing w:line="360" w:lineRule="auto"/>
        <w:ind w:left="-1" w:leftChars="-95" w:hanging="198" w:hangingChars="62"/>
        <w:jc w:val="center"/>
        <w:rPr>
          <w:rFonts w:hint="eastAsia" w:ascii="微软雅黑" w:hAnsi="黑体" w:eastAsia="微软雅黑"/>
          <w:color w:val="auto"/>
          <w:sz w:val="44"/>
          <w:szCs w:val="44"/>
          <w:highlight w:val="none"/>
        </w:rPr>
        <w:sectPr>
          <w:pgSz w:w="11905" w:h="16838"/>
          <w:pgMar w:top="1440" w:right="1463" w:bottom="1440" w:left="1463" w:header="567" w:footer="998" w:gutter="0"/>
          <w:pgNumType w:fmt="decimal"/>
          <w:cols w:space="0" w:num="1"/>
          <w:docGrid w:type="lines" w:linePitch="389" w:charSpace="0"/>
        </w:sectPr>
      </w:pPr>
      <w:r>
        <w:rPr>
          <w:rFonts w:ascii="仿宋_GB2312" w:hAnsi="宋体" w:eastAsia="仿宋_GB2312" w:cs="宋体"/>
          <w:color w:val="auto"/>
          <w:sz w:val="32"/>
          <w:szCs w:val="32"/>
          <w:highlight w:val="none"/>
        </w:rPr>
        <mc:AlternateContent>
          <mc:Choice Requires="wpg">
            <w:drawing>
              <wp:inline distT="0" distB="0" distL="114300" distR="114300">
                <wp:extent cx="5590540" cy="7728585"/>
                <wp:effectExtent l="0" t="4445" r="10160" b="20320"/>
                <wp:docPr id="78" name="组合 214"/>
                <wp:cNvGraphicFramePr/>
                <a:graphic xmlns:a="http://schemas.openxmlformats.org/drawingml/2006/main">
                  <a:graphicData uri="http://schemas.microsoft.com/office/word/2010/wordprocessingGroup">
                    <wpg:wgp>
                      <wpg:cNvGrpSpPr>
                        <a:grpSpLocks noRot="1"/>
                      </wpg:cNvGrpSpPr>
                      <wpg:grpSpPr>
                        <a:xfrm>
                          <a:off x="0" y="0"/>
                          <a:ext cx="5590540" cy="7728585"/>
                          <a:chOff x="0" y="0"/>
                          <a:chExt cx="9330" cy="11001"/>
                        </a:xfrm>
                      </wpg:grpSpPr>
                      <wps:wsp>
                        <wps:cNvPr id="1" name="Picture 9"/>
                        <wps:cNvSpPr>
                          <a:spLocks noRot="1" noChangeAspect="1" noTextEdit="1"/>
                        </wps:cNvSpPr>
                        <wps:spPr>
                          <a:xfrm>
                            <a:off x="0" y="0"/>
                            <a:ext cx="9330" cy="11001"/>
                          </a:xfrm>
                          <a:prstGeom prst="rect">
                            <a:avLst/>
                          </a:prstGeom>
                          <a:noFill/>
                          <a:ln>
                            <a:noFill/>
                          </a:ln>
                        </wps:spPr>
                        <wps:bodyPr wrap="square" upright="1"/>
                      </wps:wsp>
                      <wps:wsp>
                        <wps:cNvPr id="2" name="矩形 15"/>
                        <wps:cNvSpPr/>
                        <wps:spPr>
                          <a:xfrm>
                            <a:off x="622" y="1737"/>
                            <a:ext cx="2177" cy="5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8F1ABC">
                              <w:pPr>
                                <w:jc w:val="center"/>
                                <w:rPr>
                                  <w:rFonts w:hint="eastAsia" w:ascii="宋体" w:hAnsi="宋体"/>
                                  <w:sz w:val="24"/>
                                </w:rPr>
                              </w:pPr>
                              <w:r>
                                <w:rPr>
                                  <w:rFonts w:hint="eastAsia" w:ascii="宋体" w:hAnsi="宋体"/>
                                  <w:sz w:val="24"/>
                                </w:rPr>
                                <w:t>中小微企业申请</w:t>
                              </w:r>
                            </w:p>
                            <w:p w14:paraId="2B70D088">
                              <w:pPr>
                                <w:jc w:val="center"/>
                                <w:rPr>
                                  <w:rFonts w:hint="eastAsia" w:ascii="宋体" w:hAnsi="宋体"/>
                                </w:rPr>
                              </w:pPr>
                            </w:p>
                          </w:txbxContent>
                        </wps:txbx>
                        <wps:bodyPr wrap="square" upright="1"/>
                      </wps:wsp>
                      <wps:wsp>
                        <wps:cNvPr id="3" name="矩形 217"/>
                        <wps:cNvSpPr/>
                        <wps:spPr>
                          <a:xfrm>
                            <a:off x="3421" y="1392"/>
                            <a:ext cx="5909" cy="150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EC84BC">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wps:txbx>
                        <wps:bodyPr wrap="square" upright="1"/>
                      </wps:wsp>
                      <wps:wsp>
                        <wps:cNvPr id="4" name="直线 16"/>
                        <wps:cNvCnPr/>
                        <wps:spPr>
                          <a:xfrm>
                            <a:off x="2799" y="2016"/>
                            <a:ext cx="622" cy="1"/>
                          </a:xfrm>
                          <a:prstGeom prst="line">
                            <a:avLst/>
                          </a:prstGeom>
                          <a:ln w="9525" cap="flat" cmpd="sng">
                            <a:solidFill>
                              <a:srgbClr val="000000"/>
                            </a:solidFill>
                            <a:prstDash val="solid"/>
                            <a:headEnd type="none" w="med" len="med"/>
                            <a:tailEnd type="triangle" w="med" len="med"/>
                          </a:ln>
                        </wps:spPr>
                        <wps:bodyPr/>
                      </wps:wsp>
                      <wps:wsp>
                        <wps:cNvPr id="5" name="矩形 25"/>
                        <wps:cNvSpPr/>
                        <wps:spPr>
                          <a:xfrm>
                            <a:off x="622" y="4632"/>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D94B50">
                              <w:pPr>
                                <w:rPr>
                                  <w:sz w:val="24"/>
                                </w:rPr>
                              </w:pPr>
                              <w:r>
                                <w:rPr>
                                  <w:rFonts w:hint="eastAsia"/>
                                  <w:sz w:val="24"/>
                                </w:rPr>
                                <w:t>开设收款账户签订政府采购合同</w:t>
                              </w:r>
                            </w:p>
                          </w:txbxContent>
                        </wps:txbx>
                        <wps:bodyPr wrap="square" upright="1"/>
                      </wps:wsp>
                      <wps:wsp>
                        <wps:cNvPr id="6" name="直线 26"/>
                        <wps:cNvCnPr/>
                        <wps:spPr>
                          <a:xfrm>
                            <a:off x="2799" y="5211"/>
                            <a:ext cx="622" cy="1"/>
                          </a:xfrm>
                          <a:prstGeom prst="line">
                            <a:avLst/>
                          </a:prstGeom>
                          <a:ln w="9525" cap="flat" cmpd="sng">
                            <a:solidFill>
                              <a:srgbClr val="000000"/>
                            </a:solidFill>
                            <a:prstDash val="solid"/>
                            <a:headEnd type="none" w="med" len="med"/>
                            <a:tailEnd type="triangle" w="med" len="med"/>
                          </a:ln>
                        </wps:spPr>
                        <wps:bodyPr/>
                      </wps:wsp>
                      <wps:wsp>
                        <wps:cNvPr id="7" name="矩形 32"/>
                        <wps:cNvSpPr/>
                        <wps:spPr>
                          <a:xfrm>
                            <a:off x="622" y="9843"/>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E8C5F7">
                              <w:pPr>
                                <w:jc w:val="center"/>
                                <w:rPr>
                                  <w:sz w:val="24"/>
                                </w:rPr>
                              </w:pPr>
                              <w:r>
                                <w:rPr>
                                  <w:rFonts w:hint="eastAsia"/>
                                  <w:sz w:val="24"/>
                                </w:rPr>
                                <w:t>合同资金支付及还贷</w:t>
                              </w:r>
                            </w:p>
                          </w:txbxContent>
                        </wps:txbx>
                        <wps:bodyPr wrap="square" upright="1"/>
                      </wps:wsp>
                      <wps:wsp>
                        <wps:cNvPr id="8" name="直线 33"/>
                        <wps:cNvCnPr/>
                        <wps:spPr>
                          <a:xfrm>
                            <a:off x="2799" y="10422"/>
                            <a:ext cx="622" cy="1"/>
                          </a:xfrm>
                          <a:prstGeom prst="line">
                            <a:avLst/>
                          </a:prstGeom>
                          <a:ln w="9525" cap="flat" cmpd="sng">
                            <a:solidFill>
                              <a:srgbClr val="000000"/>
                            </a:solidFill>
                            <a:prstDash val="solid"/>
                            <a:headEnd type="none" w="med" len="med"/>
                            <a:tailEnd type="triangle" w="med" len="med"/>
                          </a:ln>
                        </wps:spPr>
                        <wps:bodyPr/>
                      </wps:wsp>
                      <wps:wsp>
                        <wps:cNvPr id="9" name="矩形 34"/>
                        <wps:cNvSpPr/>
                        <wps:spPr>
                          <a:xfrm>
                            <a:off x="3421" y="9843"/>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F9DC3D">
                              <w:pPr>
                                <w:rPr>
                                  <w:sz w:val="24"/>
                                </w:rPr>
                              </w:pPr>
                              <w:r>
                                <w:rPr>
                                  <w:rFonts w:hint="eastAsia"/>
                                  <w:sz w:val="24"/>
                                </w:rPr>
                                <w:t>中小微企业按照合同约定履约，采购人及时开展履约验收，融资服务机构加强管理，及时锁定合同回款资金。</w:t>
                              </w:r>
                            </w:p>
                          </w:txbxContent>
                        </wps:txbx>
                        <wps:bodyPr wrap="square" upright="1"/>
                      </wps:wsp>
                      <wps:wsp>
                        <wps:cNvPr id="10" name="矩形 36"/>
                        <wps:cNvSpPr/>
                        <wps:spPr>
                          <a:xfrm>
                            <a:off x="622" y="0"/>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72C0E5">
                              <w:pPr>
                                <w:rPr>
                                  <w:rFonts w:hint="eastAsia" w:ascii="宋体" w:hAnsi="宋体"/>
                                  <w:sz w:val="24"/>
                                </w:rPr>
                              </w:pPr>
                              <w:r>
                                <w:rPr>
                                  <w:rFonts w:hint="eastAsia" w:ascii="宋体" w:hAnsi="宋体"/>
                                  <w:sz w:val="24"/>
                                </w:rPr>
                                <w:t>中小微企业领取中标（成交）通知书</w:t>
                              </w:r>
                            </w:p>
                          </w:txbxContent>
                        </wps:txbx>
                        <wps:bodyPr wrap="square" upright="1"/>
                      </wps:wsp>
                      <wps:wsp>
                        <wps:cNvPr id="11" name="直线 37"/>
                        <wps:cNvCnPr/>
                        <wps:spPr>
                          <a:xfrm>
                            <a:off x="2799" y="579"/>
                            <a:ext cx="622" cy="1"/>
                          </a:xfrm>
                          <a:prstGeom prst="line">
                            <a:avLst/>
                          </a:prstGeom>
                          <a:ln w="9525" cap="flat" cmpd="sng">
                            <a:solidFill>
                              <a:srgbClr val="000000"/>
                            </a:solidFill>
                            <a:prstDash val="solid"/>
                            <a:headEnd type="none" w="med" len="med"/>
                            <a:tailEnd type="triangle" w="med" len="med"/>
                          </a:ln>
                        </wps:spPr>
                        <wps:bodyPr/>
                      </wps:wsp>
                      <wps:wsp>
                        <wps:cNvPr id="12" name="矩形 38"/>
                        <wps:cNvSpPr/>
                        <wps:spPr>
                          <a:xfrm>
                            <a:off x="3421" y="0"/>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1EEEEB">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wps:txbx>
                        <wps:bodyPr wrap="square" upright="1"/>
                      </wps:wsp>
                      <wps:wsp>
                        <wps:cNvPr id="13" name="直线 39"/>
                        <wps:cNvCnPr/>
                        <wps:spPr>
                          <a:xfrm>
                            <a:off x="1720" y="1158"/>
                            <a:ext cx="1" cy="579"/>
                          </a:xfrm>
                          <a:prstGeom prst="line">
                            <a:avLst/>
                          </a:prstGeom>
                          <a:ln w="9525" cap="flat" cmpd="sng">
                            <a:solidFill>
                              <a:srgbClr val="000000"/>
                            </a:solidFill>
                            <a:prstDash val="solid"/>
                            <a:headEnd type="none" w="med" len="med"/>
                            <a:tailEnd type="triangle" w="med" len="med"/>
                          </a:ln>
                        </wps:spPr>
                        <wps:bodyPr/>
                      </wps:wsp>
                      <wps:wsp>
                        <wps:cNvPr id="14" name="矩形 40"/>
                        <wps:cNvSpPr/>
                        <wps:spPr>
                          <a:xfrm>
                            <a:off x="622" y="2895"/>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33CE84">
                              <w:pPr>
                                <w:jc w:val="center"/>
                                <w:rPr>
                                  <w:sz w:val="24"/>
                                </w:rPr>
                              </w:pPr>
                              <w:r>
                                <w:rPr>
                                  <w:rFonts w:hint="eastAsia"/>
                                  <w:sz w:val="24"/>
                                </w:rPr>
                                <w:t>融资服务机构审查</w:t>
                              </w:r>
                            </w:p>
                          </w:txbxContent>
                        </wps:txbx>
                        <wps:bodyPr wrap="square" upright="1"/>
                      </wps:wsp>
                      <wps:wsp>
                        <wps:cNvPr id="15" name="直线 41"/>
                        <wps:cNvCnPr/>
                        <wps:spPr>
                          <a:xfrm>
                            <a:off x="1720" y="2316"/>
                            <a:ext cx="1" cy="579"/>
                          </a:xfrm>
                          <a:prstGeom prst="line">
                            <a:avLst/>
                          </a:prstGeom>
                          <a:ln w="9525" cap="flat" cmpd="sng">
                            <a:solidFill>
                              <a:srgbClr val="000000"/>
                            </a:solidFill>
                            <a:prstDash val="solid"/>
                            <a:headEnd type="none" w="med" len="med"/>
                            <a:tailEnd type="triangle" w="med" len="med"/>
                          </a:ln>
                        </wps:spPr>
                        <wps:bodyPr/>
                      </wps:wsp>
                      <wps:wsp>
                        <wps:cNvPr id="16" name="直线 42"/>
                        <wps:cNvCnPr/>
                        <wps:spPr>
                          <a:xfrm>
                            <a:off x="2799" y="3588"/>
                            <a:ext cx="622" cy="1"/>
                          </a:xfrm>
                          <a:prstGeom prst="line">
                            <a:avLst/>
                          </a:prstGeom>
                          <a:ln w="9525" cap="flat" cmpd="sng">
                            <a:solidFill>
                              <a:srgbClr val="000000"/>
                            </a:solidFill>
                            <a:prstDash val="solid"/>
                            <a:headEnd type="none" w="med" len="med"/>
                            <a:tailEnd type="triangle" w="med" len="med"/>
                          </a:ln>
                        </wps:spPr>
                        <wps:bodyPr/>
                      </wps:wsp>
                      <wps:wsp>
                        <wps:cNvPr id="17" name="矩形 43"/>
                        <wps:cNvSpPr/>
                        <wps:spPr>
                          <a:xfrm>
                            <a:off x="3421" y="3084"/>
                            <a:ext cx="5909" cy="96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87DAC8">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wps:txbx>
                        <wps:bodyPr wrap="square" upright="1"/>
                      </wps:wsp>
                      <wps:wsp>
                        <wps:cNvPr id="18" name="直线 44"/>
                        <wps:cNvCnPr/>
                        <wps:spPr>
                          <a:xfrm>
                            <a:off x="1690" y="4053"/>
                            <a:ext cx="1" cy="579"/>
                          </a:xfrm>
                          <a:prstGeom prst="line">
                            <a:avLst/>
                          </a:prstGeom>
                          <a:ln w="9525" cap="flat" cmpd="sng">
                            <a:solidFill>
                              <a:srgbClr val="000000"/>
                            </a:solidFill>
                            <a:prstDash val="solid"/>
                            <a:headEnd type="none" w="med" len="med"/>
                            <a:tailEnd type="triangle" w="med" len="med"/>
                          </a:ln>
                        </wps:spPr>
                        <wps:bodyPr/>
                      </wps:wsp>
                      <wps:wsp>
                        <wps:cNvPr id="19" name="矩形 45"/>
                        <wps:cNvSpPr/>
                        <wps:spPr>
                          <a:xfrm>
                            <a:off x="3421" y="4542"/>
                            <a:ext cx="5909" cy="13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784117">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wps:txbx>
                        <wps:bodyPr wrap="square" upright="1"/>
                      </wps:wsp>
                      <wps:wsp>
                        <wps:cNvPr id="20" name="矩形 46"/>
                        <wps:cNvSpPr/>
                        <wps:spPr>
                          <a:xfrm>
                            <a:off x="622" y="6369"/>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DB30D6">
                              <w:pPr>
                                <w:jc w:val="center"/>
                                <w:rPr>
                                  <w:sz w:val="24"/>
                                </w:rPr>
                              </w:pPr>
                              <w:r>
                                <w:rPr>
                                  <w:rFonts w:hint="eastAsia"/>
                                  <w:sz w:val="24"/>
                                </w:rPr>
                                <w:t>政府采购合同备案</w:t>
                              </w:r>
                            </w:p>
                          </w:txbxContent>
                        </wps:txbx>
                        <wps:bodyPr wrap="square" upright="1"/>
                      </wps:wsp>
                      <wps:wsp>
                        <wps:cNvPr id="21" name="直线 47"/>
                        <wps:cNvCnPr/>
                        <wps:spPr>
                          <a:xfrm>
                            <a:off x="2799" y="6948"/>
                            <a:ext cx="622" cy="1"/>
                          </a:xfrm>
                          <a:prstGeom prst="line">
                            <a:avLst/>
                          </a:prstGeom>
                          <a:ln w="9525" cap="flat" cmpd="sng">
                            <a:solidFill>
                              <a:srgbClr val="000000"/>
                            </a:solidFill>
                            <a:prstDash val="solid"/>
                            <a:headEnd type="none" w="med" len="med"/>
                            <a:tailEnd type="triangle" w="med" len="med"/>
                          </a:ln>
                        </wps:spPr>
                        <wps:bodyPr/>
                      </wps:wsp>
                      <wps:wsp>
                        <wps:cNvPr id="22" name="矩形 48"/>
                        <wps:cNvSpPr/>
                        <wps:spPr>
                          <a:xfrm>
                            <a:off x="3421" y="8106"/>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5B120D">
                              <w:pPr>
                                <w:rPr>
                                  <w:sz w:val="24"/>
                                </w:rPr>
                              </w:pPr>
                              <w:r>
                                <w:rPr>
                                  <w:rFonts w:hint="eastAsia"/>
                                  <w:sz w:val="24"/>
                                </w:rPr>
                                <w:t>融资服务机构确认合同的真实性后，5个工作日内完成放款。</w:t>
                              </w:r>
                            </w:p>
                          </w:txbxContent>
                        </wps:txbx>
                        <wps:bodyPr wrap="square" upright="1"/>
                      </wps:wsp>
                      <wps:wsp>
                        <wps:cNvPr id="23" name="矩形 49"/>
                        <wps:cNvSpPr/>
                        <wps:spPr>
                          <a:xfrm>
                            <a:off x="622" y="8106"/>
                            <a:ext cx="2177"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2D651">
                              <w:pPr>
                                <w:jc w:val="center"/>
                                <w:rPr>
                                  <w:sz w:val="24"/>
                                </w:rPr>
                              </w:pPr>
                              <w:r>
                                <w:rPr>
                                  <w:rFonts w:hint="eastAsia"/>
                                  <w:sz w:val="24"/>
                                </w:rPr>
                                <w:t>融资服务机构放贷</w:t>
                              </w:r>
                            </w:p>
                          </w:txbxContent>
                        </wps:txbx>
                        <wps:bodyPr wrap="square" upright="1"/>
                      </wps:wsp>
                      <wps:wsp>
                        <wps:cNvPr id="24" name="矩形 50"/>
                        <wps:cNvSpPr/>
                        <wps:spPr>
                          <a:xfrm>
                            <a:off x="3421" y="6369"/>
                            <a:ext cx="5909" cy="115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C2A035">
                              <w:pPr>
                                <w:rPr>
                                  <w:sz w:val="24"/>
                                </w:rPr>
                              </w:pPr>
                              <w:r>
                                <w:rPr>
                                  <w:rFonts w:hint="eastAsia"/>
                                  <w:sz w:val="24"/>
                                </w:rPr>
                                <w:t>签订合同后2个工作日内完成备案；融资机构登陆焦作市电子化政府采购系统核对合同真实性。</w:t>
                              </w:r>
                            </w:p>
                          </w:txbxContent>
                        </wps:txbx>
                        <wps:bodyPr wrap="square" upright="1"/>
                      </wps:wsp>
                      <wps:wsp>
                        <wps:cNvPr id="25" name="直线 51"/>
                        <wps:cNvCnPr/>
                        <wps:spPr>
                          <a:xfrm>
                            <a:off x="1645" y="5790"/>
                            <a:ext cx="1" cy="579"/>
                          </a:xfrm>
                          <a:prstGeom prst="line">
                            <a:avLst/>
                          </a:prstGeom>
                          <a:ln w="9525" cap="flat" cmpd="sng">
                            <a:solidFill>
                              <a:srgbClr val="000000"/>
                            </a:solidFill>
                            <a:prstDash val="solid"/>
                            <a:headEnd type="none" w="med" len="med"/>
                            <a:tailEnd type="triangle" w="med" len="med"/>
                          </a:ln>
                        </wps:spPr>
                        <wps:bodyPr/>
                      </wps:wsp>
                      <wps:wsp>
                        <wps:cNvPr id="26" name="直线 52"/>
                        <wps:cNvCnPr/>
                        <wps:spPr>
                          <a:xfrm>
                            <a:off x="1630" y="7527"/>
                            <a:ext cx="1" cy="579"/>
                          </a:xfrm>
                          <a:prstGeom prst="line">
                            <a:avLst/>
                          </a:prstGeom>
                          <a:ln w="9525" cap="flat" cmpd="sng">
                            <a:solidFill>
                              <a:srgbClr val="000000"/>
                            </a:solidFill>
                            <a:prstDash val="solid"/>
                            <a:headEnd type="none" w="med" len="med"/>
                            <a:tailEnd type="triangle" w="med" len="med"/>
                          </a:ln>
                        </wps:spPr>
                        <wps:bodyPr/>
                      </wps:wsp>
                      <wps:wsp>
                        <wps:cNvPr id="27" name="直线 53"/>
                        <wps:cNvCnPr/>
                        <wps:spPr>
                          <a:xfrm>
                            <a:off x="1645" y="9264"/>
                            <a:ext cx="1" cy="579"/>
                          </a:xfrm>
                          <a:prstGeom prst="line">
                            <a:avLst/>
                          </a:prstGeom>
                          <a:ln w="9525" cap="flat" cmpd="sng">
                            <a:solidFill>
                              <a:srgbClr val="000000"/>
                            </a:solidFill>
                            <a:prstDash val="solid"/>
                            <a:headEnd type="none" w="med" len="med"/>
                            <a:tailEnd type="triangle" w="med" len="med"/>
                          </a:ln>
                        </wps:spPr>
                        <wps:bodyPr/>
                      </wps:wsp>
                      <wps:wsp>
                        <wps:cNvPr id="28" name="直线 54"/>
                        <wps:cNvCnPr/>
                        <wps:spPr>
                          <a:xfrm>
                            <a:off x="2799" y="8685"/>
                            <a:ext cx="622" cy="1"/>
                          </a:xfrm>
                          <a:prstGeom prst="line">
                            <a:avLst/>
                          </a:prstGeom>
                          <a:ln w="9525" cap="flat" cmpd="sng">
                            <a:solidFill>
                              <a:srgbClr val="000000"/>
                            </a:solidFill>
                            <a:prstDash val="solid"/>
                            <a:headEnd type="none" w="med" len="med"/>
                            <a:tailEnd type="triangle" w="med" len="med"/>
                          </a:ln>
                        </wps:spPr>
                        <wps:bodyPr/>
                      </wps:wsp>
                    </wpg:wgp>
                  </a:graphicData>
                </a:graphic>
              </wp:inline>
            </w:drawing>
          </mc:Choice>
          <mc:Fallback>
            <w:pict>
              <v:group id="组合 214" o:spid="_x0000_s1026" o:spt="203" style="height:608.55pt;width:440.2pt;" coordsize="9330,11001" o:gfxdata="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">
                <o:lock v:ext="edit" rotation="t" aspectratio="f"/>
                <v:rect id="Picture 9" o:spid="_x0000_s1026" o:spt="1" style="position:absolute;left:0;top:0;height:11001;width:933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15" o:spid="_x0000_s1026" o:spt="1" style="position:absolute;left:622;top:1737;height:579;width:2177;"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B8F1ABC">
                        <w:pPr>
                          <w:jc w:val="center"/>
                          <w:rPr>
                            <w:rFonts w:hint="eastAsia" w:ascii="宋体" w:hAnsi="宋体"/>
                            <w:sz w:val="24"/>
                          </w:rPr>
                        </w:pPr>
                        <w:r>
                          <w:rPr>
                            <w:rFonts w:hint="eastAsia" w:ascii="宋体" w:hAnsi="宋体"/>
                            <w:sz w:val="24"/>
                          </w:rPr>
                          <w:t>中小微企业申请</w:t>
                        </w:r>
                      </w:p>
                      <w:p w14:paraId="2B70D088">
                        <w:pPr>
                          <w:jc w:val="center"/>
                          <w:rPr>
                            <w:rFonts w:hint="eastAsia" w:ascii="宋体" w:hAnsi="宋体"/>
                          </w:rPr>
                        </w:pPr>
                      </w:p>
                    </w:txbxContent>
                  </v:textbox>
                </v:rect>
                <v:rect id="矩形 217" o:spid="_x0000_s1026" o:spt="1" style="position:absolute;left:3421;top:1392;height:1503;width:590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AEC84BC">
                        <w:pPr>
                          <w:rPr>
                            <w:sz w:val="24"/>
                          </w:rPr>
                        </w:pPr>
                        <w:r>
                          <w:rPr>
                            <w:rFonts w:hint="eastAsia" w:ascii="宋体" w:hAnsi="宋体"/>
                            <w:sz w:val="24"/>
                          </w:rPr>
                          <w:t>依据中标（成交）通知书，登陆焦作市政府采购网的“政府采购合同融资平台”，对照各融资服务机构融资方案，选择符合自身的融资产品</w:t>
                        </w:r>
                        <w:r>
                          <w:rPr>
                            <w:rFonts w:hint="eastAsia"/>
                            <w:sz w:val="24"/>
                          </w:rPr>
                          <w:t>。</w:t>
                        </w:r>
                      </w:p>
                    </w:txbxContent>
                  </v:textbox>
                </v:rect>
                <v:line id="直线 16" o:spid="_x0000_s1026" o:spt="20" style="position:absolute;left:2799;top:2016;height:1;width:622;"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25" o:spid="_x0000_s1026" o:spt="1" style="position:absolute;left:622;top:4632;height:1158;width:2177;"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7D94B50">
                        <w:pPr>
                          <w:rPr>
                            <w:sz w:val="24"/>
                          </w:rPr>
                        </w:pPr>
                        <w:r>
                          <w:rPr>
                            <w:rFonts w:hint="eastAsia"/>
                            <w:sz w:val="24"/>
                          </w:rPr>
                          <w:t>开设收款账户签订政府采购合同</w:t>
                        </w:r>
                      </w:p>
                    </w:txbxContent>
                  </v:textbox>
                </v:rect>
                <v:line id="直线 26" o:spid="_x0000_s1026" o:spt="20" style="position:absolute;left:2799;top:5211;height:1;width:622;"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2" o:spid="_x0000_s1026" o:spt="1" style="position:absolute;left:622;top:9843;height:1158;width:217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BE8C5F7">
                        <w:pPr>
                          <w:jc w:val="center"/>
                          <w:rPr>
                            <w:sz w:val="24"/>
                          </w:rPr>
                        </w:pPr>
                        <w:r>
                          <w:rPr>
                            <w:rFonts w:hint="eastAsia"/>
                            <w:sz w:val="24"/>
                          </w:rPr>
                          <w:t>合同资金支付及还贷</w:t>
                        </w:r>
                      </w:p>
                    </w:txbxContent>
                  </v:textbox>
                </v:rect>
                <v:line id="直线 33" o:spid="_x0000_s1026" o:spt="20" style="position:absolute;left:2799;top:10422;height:1;width:622;"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rect id="矩形 34" o:spid="_x0000_s1026" o:spt="1" style="position:absolute;left:3421;top:9843;height:1158;width:590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8F9DC3D">
                        <w:pPr>
                          <w:rPr>
                            <w:sz w:val="24"/>
                          </w:rPr>
                        </w:pPr>
                        <w:r>
                          <w:rPr>
                            <w:rFonts w:hint="eastAsia"/>
                            <w:sz w:val="24"/>
                          </w:rPr>
                          <w:t>中小微企业按照合同约定履约，采购人及时开展履约验收，融资服务机构加强管理，及时锁定合同回款资金。</w:t>
                        </w:r>
                      </w:p>
                    </w:txbxContent>
                  </v:textbox>
                </v:rect>
                <v:rect id="矩形 36" o:spid="_x0000_s1026" o:spt="1" style="position:absolute;left:622;top:0;height:1158;width:2177;"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172C0E5">
                        <w:pPr>
                          <w:rPr>
                            <w:rFonts w:hint="eastAsia" w:ascii="宋体" w:hAnsi="宋体"/>
                            <w:sz w:val="24"/>
                          </w:rPr>
                        </w:pPr>
                        <w:r>
                          <w:rPr>
                            <w:rFonts w:hint="eastAsia" w:ascii="宋体" w:hAnsi="宋体"/>
                            <w:sz w:val="24"/>
                          </w:rPr>
                          <w:t>中小微企业领取中标（成交）通知书</w:t>
                        </w:r>
                      </w:p>
                    </w:txbxContent>
                  </v:textbox>
                </v:rect>
                <v:line id="直线 37" o:spid="_x0000_s1026" o:spt="20" style="position:absolute;left:2799;top:579;height:1;width:622;"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38" o:spid="_x0000_s1026" o:spt="1" style="position:absolute;left:3421;top:0;height:1158;width:590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81EEEEB">
                        <w:pPr>
                          <w:rPr>
                            <w:rFonts w:hint="eastAsia" w:ascii="宋体" w:hAnsi="宋体"/>
                            <w:sz w:val="24"/>
                          </w:rPr>
                        </w:pPr>
                        <w:r>
                          <w:rPr>
                            <w:rFonts w:hint="eastAsia" w:ascii="宋体" w:hAnsi="宋体"/>
                            <w:sz w:val="24"/>
                          </w:rPr>
                          <w:t>采购人或采购代理机构在焦作市政府采购网发布中标（成交）结果公告，同时发出中标（成交）通知书。</w:t>
                        </w:r>
                      </w:p>
                    </w:txbxContent>
                  </v:textbox>
                </v:rect>
                <v:line id="直线 39" o:spid="_x0000_s1026" o:spt="20" style="position:absolute;left:1720;top:1158;height:579;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矩形 40" o:spid="_x0000_s1026" o:spt="1" style="position:absolute;left:622;top:2895;height:1158;width:217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733CE84">
                        <w:pPr>
                          <w:jc w:val="center"/>
                          <w:rPr>
                            <w:sz w:val="24"/>
                          </w:rPr>
                        </w:pPr>
                        <w:r>
                          <w:rPr>
                            <w:rFonts w:hint="eastAsia"/>
                            <w:sz w:val="24"/>
                          </w:rPr>
                          <w:t>融资服务机构审查</w:t>
                        </w:r>
                      </w:p>
                    </w:txbxContent>
                  </v:textbox>
                </v:rect>
                <v:line id="直线 41" o:spid="_x0000_s1026" o:spt="20" style="position:absolute;left:1720;top:2316;height:579;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42" o:spid="_x0000_s1026" o:spt="20" style="position:absolute;left:2799;top:3588;height:1;width:622;"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43" o:spid="_x0000_s1026" o:spt="1" style="position:absolute;left:3421;top:3084;height:969;width:590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F87DAC8">
                        <w:pPr>
                          <w:rPr>
                            <w:sz w:val="24"/>
                          </w:rPr>
                        </w:pPr>
                        <w:r>
                          <w:rPr>
                            <w:rFonts w:hint="eastAsia" w:ascii="宋体" w:hAnsi="宋体"/>
                            <w:sz w:val="24"/>
                          </w:rPr>
                          <w:t>对有融资意向的中小微企业，按规定开展审查，申请材料齐全完备的，一般在7个工作日内完成审批</w:t>
                        </w:r>
                        <w:r>
                          <w:rPr>
                            <w:rFonts w:hint="eastAsia"/>
                            <w:sz w:val="24"/>
                          </w:rPr>
                          <w:t>。</w:t>
                        </w:r>
                      </w:p>
                    </w:txbxContent>
                  </v:textbox>
                </v:rect>
                <v:line id="直线 44" o:spid="_x0000_s1026" o:spt="20" style="position:absolute;left:1690;top:4053;height:579;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45" o:spid="_x0000_s1026" o:spt="1" style="position:absolute;left:3421;top:4542;height:1398;width:5909;" fillcolor="#FFFFFF" filled="t" stroked="t" coordsize="21600,21600" o:gfxdata="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Ka3D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A784117">
                        <w:pPr>
                          <w:spacing w:line="340" w:lineRule="exact"/>
                          <w:rPr>
                            <w:sz w:val="24"/>
                          </w:rPr>
                        </w:pPr>
                        <w:r>
                          <w:rPr>
                            <w:rFonts w:hint="eastAsia" w:ascii="宋体" w:hAnsi="宋体"/>
                            <w:szCs w:val="21"/>
                          </w:rPr>
                          <w:t>中小微企业按照融资服务机构要求，开设收款账户，并在中标（成交）通知书发出10日内签订政府采购合同（政府采购合同已签订的，需变更约定收款账户的，中小微企业向采购人申请，变更收款账户）</w:t>
                        </w:r>
                        <w:r>
                          <w:rPr>
                            <w:rFonts w:hint="eastAsia" w:ascii="宋体" w:hAnsi="宋体"/>
                            <w:sz w:val="24"/>
                          </w:rPr>
                          <w:t>。</w:t>
                        </w:r>
                      </w:p>
                    </w:txbxContent>
                  </v:textbox>
                </v:rect>
                <v:rect id="矩形 46" o:spid="_x0000_s1026" o:spt="1" style="position:absolute;left:622;top:6369;height:1158;width:2177;" fillcolor="#FFFFFF" filled="t" stroked="t" coordsize="21600,21600" o:gfxdata="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8NQ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6CDB30D6">
                        <w:pPr>
                          <w:jc w:val="center"/>
                          <w:rPr>
                            <w:sz w:val="24"/>
                          </w:rPr>
                        </w:pPr>
                        <w:r>
                          <w:rPr>
                            <w:rFonts w:hint="eastAsia"/>
                            <w:sz w:val="24"/>
                          </w:rPr>
                          <w:t>政府采购合同备案</w:t>
                        </w:r>
                      </w:p>
                    </w:txbxContent>
                  </v:textbox>
                </v:rect>
                <v:line id="直线 47" o:spid="_x0000_s1026" o:spt="20" style="position:absolute;left:2799;top:6948;height:1;width:622;"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48" o:spid="_x0000_s1026" o:spt="1" style="position:absolute;left:3421;top:8106;height:1158;width:5909;"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A5B120D">
                        <w:pPr>
                          <w:rPr>
                            <w:sz w:val="24"/>
                          </w:rPr>
                        </w:pPr>
                        <w:r>
                          <w:rPr>
                            <w:rFonts w:hint="eastAsia"/>
                            <w:sz w:val="24"/>
                          </w:rPr>
                          <w:t>融资服务机构确认合同的真实性后，5个工作日内完成放款。</w:t>
                        </w:r>
                      </w:p>
                    </w:txbxContent>
                  </v:textbox>
                </v:rect>
                <v:rect id="矩形 49" o:spid="_x0000_s1026" o:spt="1" style="position:absolute;left:622;top:8106;height:1158;width:2177;" fillcolor="#FFFFFF" filled="t" stroked="t" coordsize="21600,21600" o:gfxdata="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siSl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9A2D651">
                        <w:pPr>
                          <w:jc w:val="center"/>
                          <w:rPr>
                            <w:sz w:val="24"/>
                          </w:rPr>
                        </w:pPr>
                        <w:r>
                          <w:rPr>
                            <w:rFonts w:hint="eastAsia"/>
                            <w:sz w:val="24"/>
                          </w:rPr>
                          <w:t>融资服务机构放贷</w:t>
                        </w:r>
                      </w:p>
                    </w:txbxContent>
                  </v:textbox>
                </v:rect>
                <v:rect id="矩形 50" o:spid="_x0000_s1026" o:spt="1" style="position:absolute;left:3421;top:6369;height:1158;width:5909;"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9C2A035">
                        <w:pPr>
                          <w:rPr>
                            <w:sz w:val="24"/>
                          </w:rPr>
                        </w:pPr>
                        <w:r>
                          <w:rPr>
                            <w:rFonts w:hint="eastAsia"/>
                            <w:sz w:val="24"/>
                          </w:rPr>
                          <w:t>签订合同后2个工作日内完成备案；融资机构登陆焦作市电子化政府采购系统核对合同真实性。</w:t>
                        </w:r>
                      </w:p>
                    </w:txbxContent>
                  </v:textbox>
                </v:rect>
                <v:line id="直线 51" o:spid="_x0000_s1026" o:spt="20" style="position:absolute;left:1645;top:5790;height:579;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2" o:spid="_x0000_s1026" o:spt="20" style="position:absolute;left:1630;top:7527;height:579;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53" o:spid="_x0000_s1026" o:spt="20" style="position:absolute;left:1645;top:9264;height:579;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4" o:spid="_x0000_s1026" o:spt="20" style="position:absolute;left:2799;top:8685;height:1;width:62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w10:wrap type="none"/>
                <w10:anchorlock/>
              </v:group>
            </w:pict>
          </mc:Fallback>
        </mc:AlternateContent>
      </w:r>
    </w:p>
    <w:p w14:paraId="6872F9F5">
      <w:pPr>
        <w:pStyle w:val="2"/>
        <w:shd w:val="clear"/>
        <w:spacing w:before="100" w:after="90" w:line="579" w:lineRule="auto"/>
        <w:jc w:val="center"/>
        <w:rPr>
          <w:rFonts w:hint="eastAsia" w:ascii="微软雅黑" w:hAnsi="微软雅黑" w:eastAsia="微软雅黑" w:cs="微软雅黑"/>
          <w:b w:val="0"/>
          <w:bCs w:val="0"/>
          <w:color w:val="auto"/>
          <w:sz w:val="40"/>
          <w:szCs w:val="40"/>
          <w:highlight w:val="none"/>
        </w:rPr>
      </w:pPr>
      <w:bookmarkStart w:id="72" w:name="_Toc14260"/>
      <w:r>
        <w:rPr>
          <w:rFonts w:hint="eastAsia" w:ascii="微软雅黑" w:hAnsi="微软雅黑" w:eastAsia="微软雅黑" w:cs="微软雅黑"/>
          <w:b w:val="0"/>
          <w:bCs w:val="0"/>
          <w:color w:val="auto"/>
          <w:sz w:val="40"/>
          <w:szCs w:val="40"/>
          <w:highlight w:val="none"/>
        </w:rPr>
        <w:t>融资服务机构名单</w:t>
      </w:r>
      <w:bookmarkEnd w:id="72"/>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1230"/>
        <w:gridCol w:w="1876"/>
        <w:gridCol w:w="2325"/>
      </w:tblGrid>
      <w:tr w14:paraId="3FE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3656" w:type="dxa"/>
            <w:vAlign w:val="center"/>
          </w:tcPr>
          <w:p w14:paraId="1DEC0C97">
            <w:pPr>
              <w:widowControl/>
              <w:shd w:val="clear"/>
              <w:tabs>
                <w:tab w:val="left" w:pos="0"/>
              </w:tabs>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名称</w:t>
            </w:r>
          </w:p>
        </w:tc>
        <w:tc>
          <w:tcPr>
            <w:tcW w:w="1230" w:type="dxa"/>
            <w:vAlign w:val="center"/>
          </w:tcPr>
          <w:p w14:paraId="03ABB581">
            <w:pPr>
              <w:widowControl/>
              <w:shd w:val="clear"/>
              <w:tabs>
                <w:tab w:val="left" w:pos="0"/>
              </w:tabs>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联系人</w:t>
            </w:r>
          </w:p>
        </w:tc>
        <w:tc>
          <w:tcPr>
            <w:tcW w:w="1876" w:type="dxa"/>
            <w:vAlign w:val="center"/>
          </w:tcPr>
          <w:p w14:paraId="6D5ED5A0">
            <w:pPr>
              <w:widowControl/>
              <w:shd w:val="clear"/>
              <w:tabs>
                <w:tab w:val="left" w:pos="0"/>
              </w:tabs>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联系电话</w:t>
            </w:r>
          </w:p>
        </w:tc>
        <w:tc>
          <w:tcPr>
            <w:tcW w:w="2325" w:type="dxa"/>
            <w:vAlign w:val="center"/>
          </w:tcPr>
          <w:p w14:paraId="6A364B11">
            <w:pPr>
              <w:widowControl/>
              <w:shd w:val="clear"/>
              <w:tabs>
                <w:tab w:val="left" w:pos="0"/>
              </w:tabs>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地址</w:t>
            </w:r>
          </w:p>
        </w:tc>
      </w:tr>
      <w:tr w14:paraId="542F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9F1434C">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中国农业银行股份有限公司焦作分行</w:t>
            </w:r>
          </w:p>
        </w:tc>
        <w:tc>
          <w:tcPr>
            <w:tcW w:w="1230" w:type="dxa"/>
            <w:shd w:val="solid" w:color="FFFFFF" w:fill="auto"/>
            <w:vAlign w:val="center"/>
          </w:tcPr>
          <w:p w14:paraId="27AF7C06">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薛国战</w:t>
            </w:r>
          </w:p>
        </w:tc>
        <w:tc>
          <w:tcPr>
            <w:tcW w:w="1876" w:type="dxa"/>
            <w:shd w:val="solid" w:color="FFFFFF" w:fill="auto"/>
            <w:vAlign w:val="center"/>
          </w:tcPr>
          <w:p w14:paraId="1235BB9D">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0391-2878039       13839109026</w:t>
            </w:r>
          </w:p>
        </w:tc>
        <w:tc>
          <w:tcPr>
            <w:tcW w:w="2325" w:type="dxa"/>
            <w:shd w:val="solid" w:color="FFFFFF" w:fill="auto"/>
            <w:vAlign w:val="center"/>
          </w:tcPr>
          <w:p w14:paraId="326B29D0">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焦作市民主南路88号</w:t>
            </w:r>
          </w:p>
        </w:tc>
      </w:tr>
      <w:tr w14:paraId="0B69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4A74834B">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中国银行股份有限公司焦作分行</w:t>
            </w:r>
          </w:p>
        </w:tc>
        <w:tc>
          <w:tcPr>
            <w:tcW w:w="1230" w:type="dxa"/>
            <w:shd w:val="solid" w:color="FFFFFF" w:fill="auto"/>
            <w:vAlign w:val="center"/>
          </w:tcPr>
          <w:p w14:paraId="72DDA3F8">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曹阳</w:t>
            </w:r>
          </w:p>
        </w:tc>
        <w:tc>
          <w:tcPr>
            <w:tcW w:w="1876" w:type="dxa"/>
            <w:shd w:val="solid" w:color="FFFFFF" w:fill="auto"/>
            <w:vAlign w:val="center"/>
          </w:tcPr>
          <w:p w14:paraId="3BE84520">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0391-8825171  13839118160</w:t>
            </w:r>
          </w:p>
        </w:tc>
        <w:tc>
          <w:tcPr>
            <w:tcW w:w="2325" w:type="dxa"/>
            <w:shd w:val="solid" w:color="FFFFFF" w:fill="auto"/>
            <w:vAlign w:val="center"/>
          </w:tcPr>
          <w:p w14:paraId="58B0A2FB">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焦作市丰收路159号</w:t>
            </w:r>
          </w:p>
        </w:tc>
      </w:tr>
      <w:tr w14:paraId="081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658F1FBC">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中国建设银行股份有限公司焦作分行</w:t>
            </w:r>
          </w:p>
        </w:tc>
        <w:tc>
          <w:tcPr>
            <w:tcW w:w="1230" w:type="dxa"/>
            <w:shd w:val="clear" w:color="auto" w:fill="auto"/>
            <w:vAlign w:val="center"/>
          </w:tcPr>
          <w:p w14:paraId="3EC14F35">
            <w:pPr>
              <w:widowControl/>
              <w:shd w:val="clear"/>
              <w:tabs>
                <w:tab w:val="left" w:pos="0"/>
              </w:tabs>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李华莹</w:t>
            </w:r>
          </w:p>
        </w:tc>
        <w:tc>
          <w:tcPr>
            <w:tcW w:w="1876" w:type="dxa"/>
            <w:shd w:val="clear" w:color="auto" w:fill="auto"/>
            <w:vAlign w:val="center"/>
          </w:tcPr>
          <w:p w14:paraId="19086AEA">
            <w:pPr>
              <w:widowControl/>
              <w:shd w:val="clear"/>
              <w:tabs>
                <w:tab w:val="left" w:pos="0"/>
              </w:tabs>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0391-3918471</w:t>
            </w:r>
          </w:p>
        </w:tc>
        <w:tc>
          <w:tcPr>
            <w:tcW w:w="2325" w:type="dxa"/>
            <w:shd w:val="solid" w:color="FFFFFF" w:fill="auto"/>
            <w:vAlign w:val="center"/>
          </w:tcPr>
          <w:p w14:paraId="72FA517F">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焦作市建设东路152号</w:t>
            </w:r>
          </w:p>
        </w:tc>
      </w:tr>
      <w:tr w14:paraId="617F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37523E3D">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中国邮政储蓄银行股份有限公司焦作市分行</w:t>
            </w:r>
          </w:p>
        </w:tc>
        <w:tc>
          <w:tcPr>
            <w:tcW w:w="1230" w:type="dxa"/>
            <w:shd w:val="solid" w:color="FFFFFF" w:fill="auto"/>
            <w:vAlign w:val="center"/>
          </w:tcPr>
          <w:p w14:paraId="692A69B2">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李天祥</w:t>
            </w:r>
          </w:p>
        </w:tc>
        <w:tc>
          <w:tcPr>
            <w:tcW w:w="1876" w:type="dxa"/>
            <w:shd w:val="solid" w:color="FFFFFF" w:fill="auto"/>
            <w:vAlign w:val="center"/>
          </w:tcPr>
          <w:p w14:paraId="1B25D311">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0391-2981968 13523359082</w:t>
            </w:r>
          </w:p>
        </w:tc>
        <w:tc>
          <w:tcPr>
            <w:tcW w:w="2325" w:type="dxa"/>
            <w:shd w:val="solid" w:color="FFFFFF" w:fill="auto"/>
            <w:vAlign w:val="center"/>
          </w:tcPr>
          <w:p w14:paraId="151F0141">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焦作市丰收中路2233号</w:t>
            </w:r>
          </w:p>
        </w:tc>
      </w:tr>
      <w:tr w14:paraId="6F80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09EC82F">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焦作中旅银行股份有限公司</w:t>
            </w:r>
          </w:p>
        </w:tc>
        <w:tc>
          <w:tcPr>
            <w:tcW w:w="1230" w:type="dxa"/>
            <w:shd w:val="solid" w:color="FFFFFF" w:fill="auto"/>
            <w:vAlign w:val="center"/>
          </w:tcPr>
          <w:p w14:paraId="66726CD8">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周建林</w:t>
            </w:r>
          </w:p>
        </w:tc>
        <w:tc>
          <w:tcPr>
            <w:tcW w:w="1876" w:type="dxa"/>
            <w:shd w:val="solid" w:color="FFFFFF" w:fill="auto"/>
            <w:vAlign w:val="center"/>
          </w:tcPr>
          <w:p w14:paraId="4EC67608">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 xml:space="preserve">0391-2116963 15893053027 </w:t>
            </w:r>
          </w:p>
        </w:tc>
        <w:tc>
          <w:tcPr>
            <w:tcW w:w="2325" w:type="dxa"/>
            <w:shd w:val="solid" w:color="FFFFFF" w:fill="auto"/>
            <w:vAlign w:val="center"/>
          </w:tcPr>
          <w:p w14:paraId="2EAAF4DD">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焦作市山阳区迎宾路1号</w:t>
            </w:r>
          </w:p>
        </w:tc>
      </w:tr>
      <w:tr w14:paraId="2A71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2FF8B714">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中信银行股份有限公司焦作分行</w:t>
            </w:r>
          </w:p>
        </w:tc>
        <w:tc>
          <w:tcPr>
            <w:tcW w:w="1230" w:type="dxa"/>
            <w:shd w:val="clear" w:color="auto" w:fill="auto"/>
            <w:vAlign w:val="center"/>
          </w:tcPr>
          <w:p w14:paraId="739454B4">
            <w:pPr>
              <w:widowControl/>
              <w:shd w:val="clear"/>
              <w:tabs>
                <w:tab w:val="left" w:pos="0"/>
              </w:tabs>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周江江</w:t>
            </w:r>
          </w:p>
        </w:tc>
        <w:tc>
          <w:tcPr>
            <w:tcW w:w="1876" w:type="dxa"/>
            <w:shd w:val="clear" w:color="auto" w:fill="auto"/>
            <w:vAlign w:val="center"/>
          </w:tcPr>
          <w:p w14:paraId="1C826073">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17639185001</w:t>
            </w:r>
          </w:p>
        </w:tc>
        <w:tc>
          <w:tcPr>
            <w:tcW w:w="2325" w:type="dxa"/>
            <w:shd w:val="solid" w:color="FFFFFF" w:fill="auto"/>
            <w:vAlign w:val="center"/>
          </w:tcPr>
          <w:p w14:paraId="50BAD459">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焦作市塔南路1736号嘉隆国际中心</w:t>
            </w:r>
          </w:p>
        </w:tc>
      </w:tr>
      <w:tr w14:paraId="00BE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54B76479">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中国光大银行股份有限公司焦作分行</w:t>
            </w:r>
          </w:p>
        </w:tc>
        <w:tc>
          <w:tcPr>
            <w:tcW w:w="1230" w:type="dxa"/>
            <w:shd w:val="solid" w:color="FFFFFF" w:fill="auto"/>
            <w:vAlign w:val="center"/>
          </w:tcPr>
          <w:p w14:paraId="1A965DA9">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王海宾</w:t>
            </w:r>
          </w:p>
        </w:tc>
        <w:tc>
          <w:tcPr>
            <w:tcW w:w="1876" w:type="dxa"/>
            <w:shd w:val="solid" w:color="FFFFFF" w:fill="auto"/>
            <w:vAlign w:val="center"/>
          </w:tcPr>
          <w:p w14:paraId="1593DEDC">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0391-8787996 13598534626</w:t>
            </w:r>
          </w:p>
        </w:tc>
        <w:tc>
          <w:tcPr>
            <w:tcW w:w="2325" w:type="dxa"/>
            <w:shd w:val="solid" w:color="FFFFFF" w:fill="auto"/>
            <w:vAlign w:val="center"/>
          </w:tcPr>
          <w:p w14:paraId="64D955D1">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焦作市塔南路1736号</w:t>
            </w:r>
          </w:p>
        </w:tc>
      </w:tr>
      <w:tr w14:paraId="262C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18E22B83">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中原银行股份有限公司焦作分行</w:t>
            </w:r>
          </w:p>
        </w:tc>
        <w:tc>
          <w:tcPr>
            <w:tcW w:w="1230" w:type="dxa"/>
            <w:shd w:val="solid" w:color="FFFFFF" w:fill="auto"/>
            <w:vAlign w:val="center"/>
          </w:tcPr>
          <w:p w14:paraId="37ABFE8F">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赵伟</w:t>
            </w:r>
          </w:p>
        </w:tc>
        <w:tc>
          <w:tcPr>
            <w:tcW w:w="1876" w:type="dxa"/>
            <w:shd w:val="solid" w:color="FFFFFF" w:fill="auto"/>
            <w:vAlign w:val="center"/>
          </w:tcPr>
          <w:p w14:paraId="5C517B3E">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0391-8796520 15738533033</w:t>
            </w:r>
          </w:p>
        </w:tc>
        <w:tc>
          <w:tcPr>
            <w:tcW w:w="2325" w:type="dxa"/>
            <w:shd w:val="solid" w:color="FFFFFF" w:fill="auto"/>
            <w:vAlign w:val="center"/>
          </w:tcPr>
          <w:p w14:paraId="3CF1E007">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焦作市解放区人民路479号</w:t>
            </w:r>
          </w:p>
        </w:tc>
      </w:tr>
      <w:tr w14:paraId="4730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3656" w:type="dxa"/>
            <w:shd w:val="clear" w:color="auto" w:fill="auto"/>
            <w:vAlign w:val="center"/>
          </w:tcPr>
          <w:p w14:paraId="089E116B">
            <w:pPr>
              <w:widowControl/>
              <w:shd w:val="clear"/>
              <w:tabs>
                <w:tab w:val="left" w:pos="0"/>
              </w:tabs>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广发银行股份有限公司焦作分行</w:t>
            </w:r>
          </w:p>
        </w:tc>
        <w:tc>
          <w:tcPr>
            <w:tcW w:w="1230" w:type="dxa"/>
            <w:shd w:val="solid" w:color="FFFFFF" w:fill="auto"/>
            <w:vAlign w:val="center"/>
          </w:tcPr>
          <w:p w14:paraId="330EF6AF">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shd w:val="clear" w:color="auto" w:fill="FFFFFF"/>
              </w:rPr>
              <w:t>张嘉强</w:t>
            </w:r>
          </w:p>
        </w:tc>
        <w:tc>
          <w:tcPr>
            <w:tcW w:w="1876" w:type="dxa"/>
            <w:shd w:val="solid" w:color="FFFFFF" w:fill="auto"/>
            <w:vAlign w:val="center"/>
          </w:tcPr>
          <w:p w14:paraId="601A75FB">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0391-653785 13203910032</w:t>
            </w:r>
          </w:p>
        </w:tc>
        <w:tc>
          <w:tcPr>
            <w:tcW w:w="2325" w:type="dxa"/>
            <w:shd w:val="solid" w:color="FFFFFF" w:fill="auto"/>
            <w:vAlign w:val="center"/>
          </w:tcPr>
          <w:p w14:paraId="722D194A">
            <w:pPr>
              <w:shd w:val="solid" w:color="FFFFFF"/>
              <w:autoSpaceDN w:val="0"/>
              <w:spacing w:line="360" w:lineRule="auto"/>
              <w:jc w:val="center"/>
              <w:textAlignment w:val="center"/>
              <w:rPr>
                <w:rFonts w:hint="eastAsia" w:asciiTheme="minorEastAsia" w:hAnsiTheme="minorEastAsia" w:eastAsiaTheme="minorEastAsia" w:cstheme="minorEastAsia"/>
                <w:color w:val="auto"/>
                <w:highlight w:val="none"/>
                <w:shd w:val="clear" w:color="auto" w:fill="FFFFFF"/>
              </w:rPr>
            </w:pPr>
            <w:r>
              <w:rPr>
                <w:rFonts w:hint="eastAsia" w:asciiTheme="minorEastAsia" w:hAnsiTheme="minorEastAsia" w:eastAsiaTheme="minorEastAsia" w:cstheme="minorEastAsia"/>
                <w:color w:val="auto"/>
                <w:highlight w:val="none"/>
                <w:shd w:val="clear" w:color="auto" w:fill="FFFFFF"/>
              </w:rPr>
              <w:t>焦作市塔南路1736号嘉隆金融中心</w:t>
            </w:r>
          </w:p>
        </w:tc>
      </w:tr>
    </w:tbl>
    <w:p w14:paraId="1AD95F31">
      <w:pPr>
        <w:widowControl/>
        <w:shd w:val="clear"/>
        <w:tabs>
          <w:tab w:val="left" w:pos="0"/>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备注：融资服务机构名单和人员联系方式会随时变化。具体情况可登录“焦作市政府采购网”政府采购合同融资平台查询。</w:t>
      </w:r>
    </w:p>
    <w:p w14:paraId="09DE1F45">
      <w:pPr>
        <w:shd w:val="clear"/>
        <w:rPr>
          <w:rFonts w:hint="eastAsia" w:asciiTheme="minorEastAsia" w:hAnsiTheme="minorEastAsia" w:eastAsiaTheme="minorEastAsia" w:cstheme="minorEastAsia"/>
          <w:color w:val="auto"/>
          <w:sz w:val="24"/>
          <w:highlight w:val="none"/>
        </w:rPr>
      </w:pPr>
    </w:p>
    <w:sectPr>
      <w:footerReference r:id="rId8" w:type="default"/>
      <w:endnotePr>
        <w:numFmt w:val="decimal"/>
      </w:endnotePr>
      <w:pgSz w:w="11905" w:h="16838"/>
      <w:pgMar w:top="1440" w:right="1463" w:bottom="1440" w:left="1463" w:header="567" w:footer="998" w:gutter="0"/>
      <w:pgNumType w:fmt="decimal"/>
      <w:cols w:space="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BF79AA-A585-4877-BEE1-F27292BF9C07}"/>
  </w:font>
  <w:font w:name="黑体">
    <w:panose1 w:val="02010609060101010101"/>
    <w:charset w:val="86"/>
    <w:family w:val="auto"/>
    <w:pitch w:val="default"/>
    <w:sig w:usb0="800002BF" w:usb1="38CF7CFA" w:usb2="00000016" w:usb3="00000000" w:csb0="00040001" w:csb1="00000000"/>
    <w:embedRegular r:id="rId2" w:fontKey="{216AA223-F253-42D9-B942-C09DE3746E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0A99363-68E8-4794-BD60-9EDD4FF9EE05}"/>
  </w:font>
  <w:font w:name="Book Antiqua">
    <w:panose1 w:val="02040602050305030304"/>
    <w:charset w:val="00"/>
    <w:family w:val="roman"/>
    <w:pitch w:val="default"/>
    <w:sig w:usb0="00000287" w:usb1="00000000" w:usb2="00000000" w:usb3="00000000" w:csb0="2000009F" w:csb1="DFD70000"/>
    <w:embedRegular r:id="rId4" w:fontKey="{33042BC1-71E5-4116-A9B8-ACD8D2070DA9}"/>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5" w:fontKey="{FDB6FF09-6602-440A-AA47-1A81BEB9546D}"/>
  </w:font>
  <w:font w:name="微软雅黑">
    <w:panose1 w:val="020B0503020204020204"/>
    <w:charset w:val="86"/>
    <w:family w:val="swiss"/>
    <w:pitch w:val="default"/>
    <w:sig w:usb0="80000287" w:usb1="2ACF3C50" w:usb2="00000016" w:usb3="00000000" w:csb0="0004001F" w:csb1="00000000"/>
    <w:embedRegular r:id="rId6" w:fontKey="{77C4643D-38F9-47D4-8A09-92C637CB8B81}"/>
  </w:font>
  <w:font w:name="楷体">
    <w:panose1 w:val="02010609060101010101"/>
    <w:charset w:val="86"/>
    <w:family w:val="modern"/>
    <w:pitch w:val="default"/>
    <w:sig w:usb0="800002BF" w:usb1="38CF7CFA" w:usb2="00000016" w:usb3="00000000" w:csb0="00040001" w:csb1="00000000"/>
    <w:embedRegular r:id="rId7" w:fontKey="{14D31F36-2253-4ECF-9388-6240C64A1A42}"/>
  </w:font>
  <w:font w:name="方正仿宋_GBK">
    <w:panose1 w:val="03000509000000000000"/>
    <w:charset w:val="86"/>
    <w:family w:val="script"/>
    <w:pitch w:val="default"/>
    <w:sig w:usb0="00000001" w:usb1="080E0000" w:usb2="00000000" w:usb3="00000000" w:csb0="00040000" w:csb1="00000000"/>
    <w:embedRegular r:id="rId8" w:fontKey="{D51DCAAC-67FA-4340-BEB1-415F17F8148A}"/>
  </w:font>
  <w:font w:name="WPSEMBED1">
    <w:panose1 w:val="02040602050305030304"/>
    <w:charset w:val="00"/>
    <w:family w:val="auto"/>
    <w:pitch w:val="default"/>
    <w:sig w:usb0="00000287" w:usb1="00000000" w:usb2="00000000" w:usb3="00000000" w:csb0="2000009F" w:csb1="DFD70000"/>
  </w:font>
  <w:font w:name="WPSEMBED2">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7644">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9904">
                          <w:pPr>
                            <w:pStyle w:val="19"/>
                          </w:pPr>
                          <w:r>
                            <w:fldChar w:fldCharType="begin"/>
                          </w:r>
                          <w:r>
                            <w:instrText xml:space="preserve"> PAGE  \* MERGEFORMAT </w:instrText>
                          </w:r>
                          <w:r>
                            <w:fldChar w:fldCharType="separate"/>
                          </w:r>
                          <w:r>
                            <w:t>- 2 -</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AdNjjIAQAAmwMAAA4AAAAAAAAAAQAgAAAAHgEAAGRycy9lMm9Eb2Mu&#10;eG1sUEsFBgAAAAAGAAYAWQEAAFgFAAAAAA==&#10;">
              <v:fill on="f" focussize="0,0"/>
              <v:stroke on="f"/>
              <v:imagedata o:title=""/>
              <o:lock v:ext="edit" aspectratio="f"/>
              <v:textbox inset="0mm,0mm,0mm,0mm" style="mso-fit-shape-to-text:t;">
                <w:txbxContent>
                  <w:p w14:paraId="136C9904">
                    <w:pPr>
                      <w:pStyle w:val="19"/>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3AF54">
                          <w:pPr>
                            <w:pStyle w:val="19"/>
                          </w:pPr>
                        </w:p>
                        <w:p w14:paraId="342A2BE4">
                          <w:pPr>
                            <w:pStyle w:val="19"/>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3w4sk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ucu+MWJ3758f3y8/fl1zdy&#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TfDiyQEAAJoDAAAOAAAAAAAAAAEAIAAAAB4BAABkcnMvZTJvRG9j&#10;LnhtbFBLBQYAAAAABgAGAFkBAABZBQAAAAA=&#10;">
              <v:fill on="f" focussize="0,0"/>
              <v:stroke on="f"/>
              <v:imagedata o:title=""/>
              <o:lock v:ext="edit" aspectratio="f"/>
              <v:textbox inset="0mm,0mm,0mm,0mm" style="mso-fit-shape-to-text:t;">
                <w:txbxContent>
                  <w:p w14:paraId="7EC3AF54">
                    <w:pPr>
                      <w:pStyle w:val="19"/>
                    </w:pPr>
                  </w:p>
                  <w:p w14:paraId="342A2BE4">
                    <w:pPr>
                      <w:pStyle w:val="1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D7DE">
    <w:pPr>
      <w:pStyle w:val="19"/>
      <w:jc w:val="both"/>
      <w:rPr>
        <w:rFonts w:hint="eastAsia" w:ascii="宋体" w:hAnsi="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F4B88">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0AF4B88">
                    <w:pPr>
                      <w:pStyle w:val="19"/>
                    </w:pPr>
                    <w:r>
                      <w:fldChar w:fldCharType="begin"/>
                    </w:r>
                    <w:r>
                      <w:instrText xml:space="preserve"> PAGE  \* MERGEFORMAT </w:instrText>
                    </w:r>
                    <w:r>
                      <w:fldChar w:fldCharType="separate"/>
                    </w:r>
                    <w:r>
                      <w:t>- 1 -</w:t>
                    </w:r>
                    <w:r>
                      <w:fldChar w:fldCharType="end"/>
                    </w:r>
                  </w:p>
                </w:txbxContent>
              </v:textbox>
            </v:shape>
          </w:pict>
        </mc:Fallback>
      </mc:AlternateContent>
    </w:r>
  </w:p>
  <w:p w14:paraId="78B015A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4149">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FE252D">
                          <w:pPr>
                            <w:pStyle w:val="19"/>
                          </w:pPr>
                        </w:p>
                        <w:p w14:paraId="2DE4E213">
                          <w:pPr>
                            <w:pStyle w:val="19"/>
                          </w:pP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lS6nLAQAAmwMAAA4AAAAAAAAAAQAgAAAAHgEAAGRycy9lMm9E&#10;b2MueG1sUEsFBgAAAAAGAAYAWQEAAFsFAAAAAA==&#10;">
              <v:fill on="f" focussize="0,0"/>
              <v:stroke on="f"/>
              <v:imagedata o:title=""/>
              <o:lock v:ext="edit" aspectratio="f"/>
              <v:textbox inset="0mm,0mm,0mm,0mm" style="mso-fit-shape-to-text:t;">
                <w:txbxContent>
                  <w:p w14:paraId="21FE252D">
                    <w:pPr>
                      <w:pStyle w:val="19"/>
                    </w:pPr>
                  </w:p>
                  <w:p w14:paraId="2DE4E213">
                    <w:pPr>
                      <w:pStyle w:val="1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2665E">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B142B">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5CB142B">
                    <w:pPr>
                      <w:pStyle w:val="19"/>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p w14:paraId="23BE0C87">
    <w:pPr>
      <w:pStyle w:val="19"/>
      <w:jc w:val="center"/>
    </w:pPr>
    <w:r>
      <w:rPr>
        <w:rFonts w:hint="eastAsia"/>
      </w:rPr>
      <w:t xml:space="preserve">                                                         </w:t>
    </w:r>
  </w:p>
  <w:p w14:paraId="4CF34B7E">
    <w:pPr>
      <w:pStyle w:val="19"/>
      <w:jc w:val="cente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A0E1">
    <w:pPr>
      <w:pStyle w:val="19"/>
      <w:ind w:firstLine="4620" w:firstLineChars="1650"/>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DB7BE">
                          <w:pPr>
                            <w:pStyle w:val="19"/>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BDDB7BE">
                    <w:pPr>
                      <w:pStyle w:val="19"/>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41DDF">
    <w:pPr>
      <w:pStyle w:val="20"/>
      <w:pBdr>
        <w:bottom w:val="none" w:color="auto" w:sz="0" w:space="1"/>
      </w:pBdr>
      <w:tabs>
        <w:tab w:val="left" w:pos="511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974FB"/>
    <w:multiLevelType w:val="singleLevel"/>
    <w:tmpl w:val="A58974FB"/>
    <w:lvl w:ilvl="0" w:tentative="0">
      <w:start w:val="1"/>
      <w:numFmt w:val="decimal"/>
      <w:suff w:val="space"/>
      <w:lvlText w:val="%1."/>
      <w:lvlJc w:val="left"/>
    </w:lvl>
  </w:abstractNum>
  <w:abstractNum w:abstractNumId="1">
    <w:nsid w:val="B7CCEAB9"/>
    <w:multiLevelType w:val="singleLevel"/>
    <w:tmpl w:val="B7CCEAB9"/>
    <w:lvl w:ilvl="0" w:tentative="0">
      <w:start w:val="1"/>
      <w:numFmt w:val="decimal"/>
      <w:suff w:val="space"/>
      <w:lvlText w:val="%1."/>
      <w:lvlJc w:val="left"/>
      <w:pPr>
        <w:ind w:left="600" w:firstLine="0"/>
      </w:pPr>
    </w:lvl>
  </w:abstractNum>
  <w:abstractNum w:abstractNumId="2">
    <w:nsid w:val="B940B7CB"/>
    <w:multiLevelType w:val="singleLevel"/>
    <w:tmpl w:val="B940B7CB"/>
    <w:lvl w:ilvl="0" w:tentative="0">
      <w:start w:val="3"/>
      <w:numFmt w:val="decimal"/>
      <w:suff w:val="nothing"/>
      <w:lvlText w:val="%1、"/>
      <w:lvlJc w:val="left"/>
    </w:lvl>
  </w:abstractNum>
  <w:abstractNum w:abstractNumId="3">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1D90B392"/>
    <w:multiLevelType w:val="singleLevel"/>
    <w:tmpl w:val="1D90B392"/>
    <w:lvl w:ilvl="0" w:tentative="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HorizontalSpacing w:val="210"/>
  <w:drawingGridVerticalSpacing w:val="195"/>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OTJkNTQ1MjdmNWUwMjE2NDY3MGM0ZjlmY2RiMDYifQ=="/>
  </w:docVars>
  <w:rsids>
    <w:rsidRoot w:val="00962401"/>
    <w:rsid w:val="000015BE"/>
    <w:rsid w:val="00002910"/>
    <w:rsid w:val="00002CCB"/>
    <w:rsid w:val="00003EE4"/>
    <w:rsid w:val="00004800"/>
    <w:rsid w:val="00005811"/>
    <w:rsid w:val="00005E52"/>
    <w:rsid w:val="00012E57"/>
    <w:rsid w:val="000140D8"/>
    <w:rsid w:val="00014365"/>
    <w:rsid w:val="00014748"/>
    <w:rsid w:val="00016EE9"/>
    <w:rsid w:val="000271A8"/>
    <w:rsid w:val="00027F07"/>
    <w:rsid w:val="0003047E"/>
    <w:rsid w:val="000306FA"/>
    <w:rsid w:val="00030D7D"/>
    <w:rsid w:val="00035D61"/>
    <w:rsid w:val="000442DD"/>
    <w:rsid w:val="000466A8"/>
    <w:rsid w:val="0005195D"/>
    <w:rsid w:val="00057D61"/>
    <w:rsid w:val="00064A1E"/>
    <w:rsid w:val="0006553D"/>
    <w:rsid w:val="000657C8"/>
    <w:rsid w:val="00066296"/>
    <w:rsid w:val="000675E5"/>
    <w:rsid w:val="00070055"/>
    <w:rsid w:val="00070D76"/>
    <w:rsid w:val="000759CA"/>
    <w:rsid w:val="00081FD6"/>
    <w:rsid w:val="000913FE"/>
    <w:rsid w:val="00097FE1"/>
    <w:rsid w:val="000A0C90"/>
    <w:rsid w:val="000A3CB1"/>
    <w:rsid w:val="000A3F81"/>
    <w:rsid w:val="000A4A79"/>
    <w:rsid w:val="000A65E7"/>
    <w:rsid w:val="000B054E"/>
    <w:rsid w:val="000B2ED5"/>
    <w:rsid w:val="000C0AFC"/>
    <w:rsid w:val="000C19C0"/>
    <w:rsid w:val="000C3ED3"/>
    <w:rsid w:val="000C70EA"/>
    <w:rsid w:val="000C76C1"/>
    <w:rsid w:val="000C7AD2"/>
    <w:rsid w:val="000D0768"/>
    <w:rsid w:val="000D5A3A"/>
    <w:rsid w:val="000D5C5A"/>
    <w:rsid w:val="000D5F90"/>
    <w:rsid w:val="000D7967"/>
    <w:rsid w:val="000E2B9C"/>
    <w:rsid w:val="000E2FAC"/>
    <w:rsid w:val="000E38D9"/>
    <w:rsid w:val="000E5421"/>
    <w:rsid w:val="000E72D4"/>
    <w:rsid w:val="000F0CEF"/>
    <w:rsid w:val="000F1A1B"/>
    <w:rsid w:val="000F1E40"/>
    <w:rsid w:val="000F5FDF"/>
    <w:rsid w:val="001000C0"/>
    <w:rsid w:val="001002AE"/>
    <w:rsid w:val="00104A6E"/>
    <w:rsid w:val="00107DA3"/>
    <w:rsid w:val="001155DA"/>
    <w:rsid w:val="0011711F"/>
    <w:rsid w:val="00120B64"/>
    <w:rsid w:val="00124B0C"/>
    <w:rsid w:val="00125237"/>
    <w:rsid w:val="0012747F"/>
    <w:rsid w:val="0013122B"/>
    <w:rsid w:val="00131845"/>
    <w:rsid w:val="00137A42"/>
    <w:rsid w:val="00137D0A"/>
    <w:rsid w:val="00151139"/>
    <w:rsid w:val="0015121C"/>
    <w:rsid w:val="0015190E"/>
    <w:rsid w:val="00152681"/>
    <w:rsid w:val="00152684"/>
    <w:rsid w:val="00154729"/>
    <w:rsid w:val="00156E71"/>
    <w:rsid w:val="0015749B"/>
    <w:rsid w:val="00165A12"/>
    <w:rsid w:val="00173BD3"/>
    <w:rsid w:val="00173DEC"/>
    <w:rsid w:val="00176D90"/>
    <w:rsid w:val="001824D4"/>
    <w:rsid w:val="00185F08"/>
    <w:rsid w:val="00186BF0"/>
    <w:rsid w:val="00191B01"/>
    <w:rsid w:val="00193F9B"/>
    <w:rsid w:val="00195636"/>
    <w:rsid w:val="001A0219"/>
    <w:rsid w:val="001A1C2D"/>
    <w:rsid w:val="001A1CC0"/>
    <w:rsid w:val="001A360B"/>
    <w:rsid w:val="001B287E"/>
    <w:rsid w:val="001B40C9"/>
    <w:rsid w:val="001B421C"/>
    <w:rsid w:val="001B461C"/>
    <w:rsid w:val="001B7BE6"/>
    <w:rsid w:val="001C0D5E"/>
    <w:rsid w:val="001C3045"/>
    <w:rsid w:val="001C483A"/>
    <w:rsid w:val="001C579B"/>
    <w:rsid w:val="001D327A"/>
    <w:rsid w:val="001D35DD"/>
    <w:rsid w:val="001D73FC"/>
    <w:rsid w:val="001D7A66"/>
    <w:rsid w:val="001E3B0B"/>
    <w:rsid w:val="001E65DF"/>
    <w:rsid w:val="001E6659"/>
    <w:rsid w:val="001E684B"/>
    <w:rsid w:val="001F33A6"/>
    <w:rsid w:val="001F5CAB"/>
    <w:rsid w:val="001F63F9"/>
    <w:rsid w:val="001F6615"/>
    <w:rsid w:val="002025B9"/>
    <w:rsid w:val="002047FC"/>
    <w:rsid w:val="00206581"/>
    <w:rsid w:val="002112AA"/>
    <w:rsid w:val="00214891"/>
    <w:rsid w:val="002229B5"/>
    <w:rsid w:val="00224CB7"/>
    <w:rsid w:val="0023037D"/>
    <w:rsid w:val="00231C2F"/>
    <w:rsid w:val="00236EA1"/>
    <w:rsid w:val="00241E31"/>
    <w:rsid w:val="00242B18"/>
    <w:rsid w:val="00242B62"/>
    <w:rsid w:val="00245F60"/>
    <w:rsid w:val="002509F5"/>
    <w:rsid w:val="002515BD"/>
    <w:rsid w:val="0026434B"/>
    <w:rsid w:val="00264C13"/>
    <w:rsid w:val="00265FB4"/>
    <w:rsid w:val="00276C52"/>
    <w:rsid w:val="00282407"/>
    <w:rsid w:val="00283B0B"/>
    <w:rsid w:val="00286C3B"/>
    <w:rsid w:val="0028727C"/>
    <w:rsid w:val="00287BE1"/>
    <w:rsid w:val="00291610"/>
    <w:rsid w:val="00291955"/>
    <w:rsid w:val="002A13D9"/>
    <w:rsid w:val="002A1A10"/>
    <w:rsid w:val="002A3306"/>
    <w:rsid w:val="002A37D6"/>
    <w:rsid w:val="002A41B8"/>
    <w:rsid w:val="002A4DA6"/>
    <w:rsid w:val="002B316F"/>
    <w:rsid w:val="002B3D5B"/>
    <w:rsid w:val="002B4C83"/>
    <w:rsid w:val="002B4DFA"/>
    <w:rsid w:val="002B5805"/>
    <w:rsid w:val="002B72BA"/>
    <w:rsid w:val="002C23EA"/>
    <w:rsid w:val="002C2860"/>
    <w:rsid w:val="002C40B6"/>
    <w:rsid w:val="002C4851"/>
    <w:rsid w:val="002D5E00"/>
    <w:rsid w:val="002D74D2"/>
    <w:rsid w:val="002E118D"/>
    <w:rsid w:val="002E154B"/>
    <w:rsid w:val="002E677D"/>
    <w:rsid w:val="002E7406"/>
    <w:rsid w:val="002F176C"/>
    <w:rsid w:val="002F5686"/>
    <w:rsid w:val="002F6186"/>
    <w:rsid w:val="002F671D"/>
    <w:rsid w:val="002F6756"/>
    <w:rsid w:val="002F7FB2"/>
    <w:rsid w:val="0030329D"/>
    <w:rsid w:val="00305FBF"/>
    <w:rsid w:val="00311B45"/>
    <w:rsid w:val="00313D5A"/>
    <w:rsid w:val="00314B77"/>
    <w:rsid w:val="00316BA4"/>
    <w:rsid w:val="00321BB0"/>
    <w:rsid w:val="00324077"/>
    <w:rsid w:val="00325063"/>
    <w:rsid w:val="00332D35"/>
    <w:rsid w:val="00334330"/>
    <w:rsid w:val="00337E14"/>
    <w:rsid w:val="00340DAC"/>
    <w:rsid w:val="00342EAD"/>
    <w:rsid w:val="003452FC"/>
    <w:rsid w:val="00347660"/>
    <w:rsid w:val="00356C1F"/>
    <w:rsid w:val="00363A8F"/>
    <w:rsid w:val="003706CF"/>
    <w:rsid w:val="0037249B"/>
    <w:rsid w:val="0037711A"/>
    <w:rsid w:val="0038229E"/>
    <w:rsid w:val="003834D7"/>
    <w:rsid w:val="00384A16"/>
    <w:rsid w:val="003A23EE"/>
    <w:rsid w:val="003A38E2"/>
    <w:rsid w:val="003A3A87"/>
    <w:rsid w:val="003A7EDF"/>
    <w:rsid w:val="003B0D78"/>
    <w:rsid w:val="003B7C0D"/>
    <w:rsid w:val="003C432B"/>
    <w:rsid w:val="003C4C4E"/>
    <w:rsid w:val="003D109F"/>
    <w:rsid w:val="003D3D71"/>
    <w:rsid w:val="003D4809"/>
    <w:rsid w:val="003E0B8B"/>
    <w:rsid w:val="003E1F4D"/>
    <w:rsid w:val="003E4F95"/>
    <w:rsid w:val="003E7AF0"/>
    <w:rsid w:val="003F14B5"/>
    <w:rsid w:val="003F300E"/>
    <w:rsid w:val="003F6250"/>
    <w:rsid w:val="003F6626"/>
    <w:rsid w:val="003F7889"/>
    <w:rsid w:val="00403BE5"/>
    <w:rsid w:val="004123C8"/>
    <w:rsid w:val="004152C5"/>
    <w:rsid w:val="00416C4B"/>
    <w:rsid w:val="00416FDA"/>
    <w:rsid w:val="004172E7"/>
    <w:rsid w:val="0041796F"/>
    <w:rsid w:val="004211F4"/>
    <w:rsid w:val="004252FC"/>
    <w:rsid w:val="00426DE4"/>
    <w:rsid w:val="00433863"/>
    <w:rsid w:val="00435D42"/>
    <w:rsid w:val="00437BF2"/>
    <w:rsid w:val="004435DF"/>
    <w:rsid w:val="00443D97"/>
    <w:rsid w:val="00445035"/>
    <w:rsid w:val="00447636"/>
    <w:rsid w:val="004477CD"/>
    <w:rsid w:val="004507D3"/>
    <w:rsid w:val="004509CA"/>
    <w:rsid w:val="0045185D"/>
    <w:rsid w:val="00452B29"/>
    <w:rsid w:val="0045441C"/>
    <w:rsid w:val="00456162"/>
    <w:rsid w:val="00456CAB"/>
    <w:rsid w:val="00460DD9"/>
    <w:rsid w:val="00462877"/>
    <w:rsid w:val="00464920"/>
    <w:rsid w:val="00467623"/>
    <w:rsid w:val="00470C98"/>
    <w:rsid w:val="00475AFC"/>
    <w:rsid w:val="004801BA"/>
    <w:rsid w:val="0048036E"/>
    <w:rsid w:val="00482FE1"/>
    <w:rsid w:val="00486331"/>
    <w:rsid w:val="004918FA"/>
    <w:rsid w:val="0049273C"/>
    <w:rsid w:val="00495B2A"/>
    <w:rsid w:val="00497F77"/>
    <w:rsid w:val="004A05AC"/>
    <w:rsid w:val="004A0A27"/>
    <w:rsid w:val="004A374A"/>
    <w:rsid w:val="004A44FA"/>
    <w:rsid w:val="004A5112"/>
    <w:rsid w:val="004A5C86"/>
    <w:rsid w:val="004A5F9F"/>
    <w:rsid w:val="004A6058"/>
    <w:rsid w:val="004B294E"/>
    <w:rsid w:val="004B695F"/>
    <w:rsid w:val="004C0B26"/>
    <w:rsid w:val="004C2925"/>
    <w:rsid w:val="004C3C94"/>
    <w:rsid w:val="004C4322"/>
    <w:rsid w:val="004C5A66"/>
    <w:rsid w:val="004E0E1D"/>
    <w:rsid w:val="004E106D"/>
    <w:rsid w:val="004E18D0"/>
    <w:rsid w:val="004E1D2B"/>
    <w:rsid w:val="004E392D"/>
    <w:rsid w:val="004F1A1C"/>
    <w:rsid w:val="004F3624"/>
    <w:rsid w:val="004F3AE2"/>
    <w:rsid w:val="004F60E3"/>
    <w:rsid w:val="00500644"/>
    <w:rsid w:val="005015B6"/>
    <w:rsid w:val="00504526"/>
    <w:rsid w:val="00505D36"/>
    <w:rsid w:val="00510B4C"/>
    <w:rsid w:val="00512B3D"/>
    <w:rsid w:val="005146A4"/>
    <w:rsid w:val="00525D53"/>
    <w:rsid w:val="00532540"/>
    <w:rsid w:val="005354E2"/>
    <w:rsid w:val="00536A03"/>
    <w:rsid w:val="00540717"/>
    <w:rsid w:val="00541821"/>
    <w:rsid w:val="00541E7D"/>
    <w:rsid w:val="00543870"/>
    <w:rsid w:val="00545E31"/>
    <w:rsid w:val="00547346"/>
    <w:rsid w:val="0055000C"/>
    <w:rsid w:val="00550703"/>
    <w:rsid w:val="00552981"/>
    <w:rsid w:val="00562E76"/>
    <w:rsid w:val="00564676"/>
    <w:rsid w:val="00566102"/>
    <w:rsid w:val="00566B99"/>
    <w:rsid w:val="00571719"/>
    <w:rsid w:val="005760DA"/>
    <w:rsid w:val="005855F2"/>
    <w:rsid w:val="00587196"/>
    <w:rsid w:val="0059102C"/>
    <w:rsid w:val="0059393E"/>
    <w:rsid w:val="00594F0B"/>
    <w:rsid w:val="00596F12"/>
    <w:rsid w:val="005A2AD4"/>
    <w:rsid w:val="005A5629"/>
    <w:rsid w:val="005B331A"/>
    <w:rsid w:val="005B39BC"/>
    <w:rsid w:val="005B42AF"/>
    <w:rsid w:val="005B6680"/>
    <w:rsid w:val="005C67F7"/>
    <w:rsid w:val="005C7018"/>
    <w:rsid w:val="005D5818"/>
    <w:rsid w:val="005E0F55"/>
    <w:rsid w:val="005E1E42"/>
    <w:rsid w:val="005E2BC8"/>
    <w:rsid w:val="005E5015"/>
    <w:rsid w:val="005E6046"/>
    <w:rsid w:val="005E7AA0"/>
    <w:rsid w:val="005F7277"/>
    <w:rsid w:val="006009D2"/>
    <w:rsid w:val="00602203"/>
    <w:rsid w:val="0060224B"/>
    <w:rsid w:val="00606D58"/>
    <w:rsid w:val="006071D4"/>
    <w:rsid w:val="00610037"/>
    <w:rsid w:val="00615313"/>
    <w:rsid w:val="00620AA6"/>
    <w:rsid w:val="00620C46"/>
    <w:rsid w:val="00621D02"/>
    <w:rsid w:val="0062246D"/>
    <w:rsid w:val="00623957"/>
    <w:rsid w:val="00625496"/>
    <w:rsid w:val="00633EB5"/>
    <w:rsid w:val="00634E79"/>
    <w:rsid w:val="00636066"/>
    <w:rsid w:val="00640168"/>
    <w:rsid w:val="006409D9"/>
    <w:rsid w:val="00643D93"/>
    <w:rsid w:val="0064617E"/>
    <w:rsid w:val="00647B9A"/>
    <w:rsid w:val="00650918"/>
    <w:rsid w:val="006535D3"/>
    <w:rsid w:val="00654B64"/>
    <w:rsid w:val="00655011"/>
    <w:rsid w:val="00656D53"/>
    <w:rsid w:val="00661550"/>
    <w:rsid w:val="006617A5"/>
    <w:rsid w:val="006625EB"/>
    <w:rsid w:val="00662A9E"/>
    <w:rsid w:val="00663CC6"/>
    <w:rsid w:val="00663E68"/>
    <w:rsid w:val="00666853"/>
    <w:rsid w:val="006722C9"/>
    <w:rsid w:val="00676DA8"/>
    <w:rsid w:val="00686AE1"/>
    <w:rsid w:val="0069028D"/>
    <w:rsid w:val="006964EB"/>
    <w:rsid w:val="00696601"/>
    <w:rsid w:val="006A1077"/>
    <w:rsid w:val="006A212E"/>
    <w:rsid w:val="006A35A5"/>
    <w:rsid w:val="006A42F9"/>
    <w:rsid w:val="006A4641"/>
    <w:rsid w:val="006A5E20"/>
    <w:rsid w:val="006A6023"/>
    <w:rsid w:val="006A6A99"/>
    <w:rsid w:val="006A7BF2"/>
    <w:rsid w:val="006B133E"/>
    <w:rsid w:val="006B3865"/>
    <w:rsid w:val="006B6389"/>
    <w:rsid w:val="006C028D"/>
    <w:rsid w:val="006C0D49"/>
    <w:rsid w:val="006C2188"/>
    <w:rsid w:val="006C48BA"/>
    <w:rsid w:val="006C70B1"/>
    <w:rsid w:val="006C78DF"/>
    <w:rsid w:val="006D0945"/>
    <w:rsid w:val="006D0CD2"/>
    <w:rsid w:val="006D55E1"/>
    <w:rsid w:val="006E01B8"/>
    <w:rsid w:val="006E0B01"/>
    <w:rsid w:val="006E26A9"/>
    <w:rsid w:val="006E32B0"/>
    <w:rsid w:val="006E3304"/>
    <w:rsid w:val="006E4439"/>
    <w:rsid w:val="006E4EEC"/>
    <w:rsid w:val="006E63A4"/>
    <w:rsid w:val="006F1173"/>
    <w:rsid w:val="006F3174"/>
    <w:rsid w:val="006F5F11"/>
    <w:rsid w:val="006F6716"/>
    <w:rsid w:val="006F682D"/>
    <w:rsid w:val="00700BB3"/>
    <w:rsid w:val="007013A8"/>
    <w:rsid w:val="00701977"/>
    <w:rsid w:val="00702777"/>
    <w:rsid w:val="007056AC"/>
    <w:rsid w:val="00707FC9"/>
    <w:rsid w:val="00710578"/>
    <w:rsid w:val="007144C0"/>
    <w:rsid w:val="007163C4"/>
    <w:rsid w:val="00720389"/>
    <w:rsid w:val="007228F0"/>
    <w:rsid w:val="00722A72"/>
    <w:rsid w:val="00731E34"/>
    <w:rsid w:val="00732032"/>
    <w:rsid w:val="00734634"/>
    <w:rsid w:val="00735AD0"/>
    <w:rsid w:val="00740C43"/>
    <w:rsid w:val="00745258"/>
    <w:rsid w:val="007475AB"/>
    <w:rsid w:val="007525AE"/>
    <w:rsid w:val="007610FD"/>
    <w:rsid w:val="007617C6"/>
    <w:rsid w:val="007617CE"/>
    <w:rsid w:val="00762FA4"/>
    <w:rsid w:val="00763475"/>
    <w:rsid w:val="00764C08"/>
    <w:rsid w:val="007659D5"/>
    <w:rsid w:val="00766D07"/>
    <w:rsid w:val="00773E69"/>
    <w:rsid w:val="0077592C"/>
    <w:rsid w:val="0078328F"/>
    <w:rsid w:val="00784AAA"/>
    <w:rsid w:val="00786A12"/>
    <w:rsid w:val="007951C0"/>
    <w:rsid w:val="00797BF4"/>
    <w:rsid w:val="007A1F96"/>
    <w:rsid w:val="007A2137"/>
    <w:rsid w:val="007A2941"/>
    <w:rsid w:val="007A2ECA"/>
    <w:rsid w:val="007A3348"/>
    <w:rsid w:val="007A6E78"/>
    <w:rsid w:val="007A7D3A"/>
    <w:rsid w:val="007B1AF5"/>
    <w:rsid w:val="007B271D"/>
    <w:rsid w:val="007B3DF4"/>
    <w:rsid w:val="007B46F4"/>
    <w:rsid w:val="007B510E"/>
    <w:rsid w:val="007C12EF"/>
    <w:rsid w:val="007C3E8C"/>
    <w:rsid w:val="007C749A"/>
    <w:rsid w:val="007D2591"/>
    <w:rsid w:val="007D3A99"/>
    <w:rsid w:val="007D3E9D"/>
    <w:rsid w:val="007D653F"/>
    <w:rsid w:val="007D790C"/>
    <w:rsid w:val="007D7BAB"/>
    <w:rsid w:val="007E1146"/>
    <w:rsid w:val="007E54B6"/>
    <w:rsid w:val="007E7118"/>
    <w:rsid w:val="007E7372"/>
    <w:rsid w:val="007E7678"/>
    <w:rsid w:val="007F38B9"/>
    <w:rsid w:val="007F51B6"/>
    <w:rsid w:val="00803DFB"/>
    <w:rsid w:val="00804C18"/>
    <w:rsid w:val="008101B0"/>
    <w:rsid w:val="00812885"/>
    <w:rsid w:val="00813FA7"/>
    <w:rsid w:val="0081524E"/>
    <w:rsid w:val="00817770"/>
    <w:rsid w:val="00817F29"/>
    <w:rsid w:val="00824F0F"/>
    <w:rsid w:val="00825853"/>
    <w:rsid w:val="00826B11"/>
    <w:rsid w:val="00835F44"/>
    <w:rsid w:val="0083638D"/>
    <w:rsid w:val="00837B83"/>
    <w:rsid w:val="00840E98"/>
    <w:rsid w:val="008513BF"/>
    <w:rsid w:val="008526D8"/>
    <w:rsid w:val="0085574E"/>
    <w:rsid w:val="008629A8"/>
    <w:rsid w:val="008633A3"/>
    <w:rsid w:val="00864742"/>
    <w:rsid w:val="00866489"/>
    <w:rsid w:val="00866B3D"/>
    <w:rsid w:val="00867D21"/>
    <w:rsid w:val="00871A49"/>
    <w:rsid w:val="00872164"/>
    <w:rsid w:val="00874806"/>
    <w:rsid w:val="0087521E"/>
    <w:rsid w:val="008806F8"/>
    <w:rsid w:val="00881E45"/>
    <w:rsid w:val="00882D3C"/>
    <w:rsid w:val="00882F82"/>
    <w:rsid w:val="008849FC"/>
    <w:rsid w:val="008854F2"/>
    <w:rsid w:val="00886BA8"/>
    <w:rsid w:val="00887460"/>
    <w:rsid w:val="008915C6"/>
    <w:rsid w:val="00891D54"/>
    <w:rsid w:val="0089205E"/>
    <w:rsid w:val="00897021"/>
    <w:rsid w:val="0089787D"/>
    <w:rsid w:val="008A1772"/>
    <w:rsid w:val="008A393D"/>
    <w:rsid w:val="008A3CB1"/>
    <w:rsid w:val="008A4A89"/>
    <w:rsid w:val="008A7EFB"/>
    <w:rsid w:val="008B2889"/>
    <w:rsid w:val="008B610A"/>
    <w:rsid w:val="008C14E0"/>
    <w:rsid w:val="008C3F35"/>
    <w:rsid w:val="008C60C7"/>
    <w:rsid w:val="008C6B68"/>
    <w:rsid w:val="008D0667"/>
    <w:rsid w:val="008D06BA"/>
    <w:rsid w:val="008D0831"/>
    <w:rsid w:val="008D28DB"/>
    <w:rsid w:val="008D4206"/>
    <w:rsid w:val="008D6804"/>
    <w:rsid w:val="008D688E"/>
    <w:rsid w:val="008E184B"/>
    <w:rsid w:val="008E3382"/>
    <w:rsid w:val="008F213E"/>
    <w:rsid w:val="008F4BE4"/>
    <w:rsid w:val="009002E4"/>
    <w:rsid w:val="00900A48"/>
    <w:rsid w:val="00900CA8"/>
    <w:rsid w:val="009025B9"/>
    <w:rsid w:val="00902F6B"/>
    <w:rsid w:val="009051EA"/>
    <w:rsid w:val="0091271C"/>
    <w:rsid w:val="00912787"/>
    <w:rsid w:val="00914314"/>
    <w:rsid w:val="009145C2"/>
    <w:rsid w:val="009214D0"/>
    <w:rsid w:val="00921AC0"/>
    <w:rsid w:val="00924E86"/>
    <w:rsid w:val="00925414"/>
    <w:rsid w:val="00930B0F"/>
    <w:rsid w:val="00931719"/>
    <w:rsid w:val="0093506A"/>
    <w:rsid w:val="00935A5D"/>
    <w:rsid w:val="00935D15"/>
    <w:rsid w:val="00936473"/>
    <w:rsid w:val="0093711B"/>
    <w:rsid w:val="0094210E"/>
    <w:rsid w:val="00942556"/>
    <w:rsid w:val="009459C9"/>
    <w:rsid w:val="00946E2D"/>
    <w:rsid w:val="0094701C"/>
    <w:rsid w:val="00950829"/>
    <w:rsid w:val="00951745"/>
    <w:rsid w:val="00955239"/>
    <w:rsid w:val="00955907"/>
    <w:rsid w:val="00957134"/>
    <w:rsid w:val="00962401"/>
    <w:rsid w:val="00964439"/>
    <w:rsid w:val="00965FA1"/>
    <w:rsid w:val="00966E33"/>
    <w:rsid w:val="009671C6"/>
    <w:rsid w:val="009676C8"/>
    <w:rsid w:val="00967E90"/>
    <w:rsid w:val="00971F76"/>
    <w:rsid w:val="009732D6"/>
    <w:rsid w:val="0097382F"/>
    <w:rsid w:val="00975565"/>
    <w:rsid w:val="00976F17"/>
    <w:rsid w:val="0098129E"/>
    <w:rsid w:val="00981F48"/>
    <w:rsid w:val="00983FCE"/>
    <w:rsid w:val="009842BD"/>
    <w:rsid w:val="00985916"/>
    <w:rsid w:val="00986E8F"/>
    <w:rsid w:val="00991791"/>
    <w:rsid w:val="009A12FC"/>
    <w:rsid w:val="009A2230"/>
    <w:rsid w:val="009A57A4"/>
    <w:rsid w:val="009A5F1A"/>
    <w:rsid w:val="009A5FDD"/>
    <w:rsid w:val="009B554C"/>
    <w:rsid w:val="009B6C36"/>
    <w:rsid w:val="009C10C8"/>
    <w:rsid w:val="009C129E"/>
    <w:rsid w:val="009C2F0F"/>
    <w:rsid w:val="009C3470"/>
    <w:rsid w:val="009C3828"/>
    <w:rsid w:val="009C49FC"/>
    <w:rsid w:val="009C57E5"/>
    <w:rsid w:val="009D230C"/>
    <w:rsid w:val="00A00873"/>
    <w:rsid w:val="00A00D84"/>
    <w:rsid w:val="00A020D3"/>
    <w:rsid w:val="00A0419C"/>
    <w:rsid w:val="00A050BF"/>
    <w:rsid w:val="00A055DA"/>
    <w:rsid w:val="00A106C0"/>
    <w:rsid w:val="00A11D33"/>
    <w:rsid w:val="00A13ADD"/>
    <w:rsid w:val="00A1483C"/>
    <w:rsid w:val="00A1525F"/>
    <w:rsid w:val="00A37BB4"/>
    <w:rsid w:val="00A40ECF"/>
    <w:rsid w:val="00A4415D"/>
    <w:rsid w:val="00A50B2D"/>
    <w:rsid w:val="00A5213B"/>
    <w:rsid w:val="00A57639"/>
    <w:rsid w:val="00A6183A"/>
    <w:rsid w:val="00A6318F"/>
    <w:rsid w:val="00A65F0C"/>
    <w:rsid w:val="00A65FA9"/>
    <w:rsid w:val="00A71A1C"/>
    <w:rsid w:val="00A730FD"/>
    <w:rsid w:val="00A755E1"/>
    <w:rsid w:val="00A81167"/>
    <w:rsid w:val="00A81285"/>
    <w:rsid w:val="00A8273F"/>
    <w:rsid w:val="00A84001"/>
    <w:rsid w:val="00A86EBF"/>
    <w:rsid w:val="00A900B4"/>
    <w:rsid w:val="00A9079D"/>
    <w:rsid w:val="00A94342"/>
    <w:rsid w:val="00A96057"/>
    <w:rsid w:val="00A9651D"/>
    <w:rsid w:val="00AA1C61"/>
    <w:rsid w:val="00AA1F55"/>
    <w:rsid w:val="00AA3CEC"/>
    <w:rsid w:val="00AA6D59"/>
    <w:rsid w:val="00AA72DC"/>
    <w:rsid w:val="00AB65BC"/>
    <w:rsid w:val="00AB6AC4"/>
    <w:rsid w:val="00AB7D06"/>
    <w:rsid w:val="00AC56C8"/>
    <w:rsid w:val="00AC5A41"/>
    <w:rsid w:val="00AD1801"/>
    <w:rsid w:val="00AD21D2"/>
    <w:rsid w:val="00AD43E1"/>
    <w:rsid w:val="00AD5F7D"/>
    <w:rsid w:val="00AD733A"/>
    <w:rsid w:val="00AE5379"/>
    <w:rsid w:val="00AE58CD"/>
    <w:rsid w:val="00AE5C43"/>
    <w:rsid w:val="00AF1188"/>
    <w:rsid w:val="00AF309C"/>
    <w:rsid w:val="00AF3164"/>
    <w:rsid w:val="00AF55D3"/>
    <w:rsid w:val="00AF742A"/>
    <w:rsid w:val="00B0053F"/>
    <w:rsid w:val="00B00F1D"/>
    <w:rsid w:val="00B01A93"/>
    <w:rsid w:val="00B11CBA"/>
    <w:rsid w:val="00B222F1"/>
    <w:rsid w:val="00B24228"/>
    <w:rsid w:val="00B33434"/>
    <w:rsid w:val="00B414AA"/>
    <w:rsid w:val="00B423A2"/>
    <w:rsid w:val="00B425D8"/>
    <w:rsid w:val="00B42616"/>
    <w:rsid w:val="00B46BAC"/>
    <w:rsid w:val="00B46BD9"/>
    <w:rsid w:val="00B46E6F"/>
    <w:rsid w:val="00B47A3D"/>
    <w:rsid w:val="00B527F7"/>
    <w:rsid w:val="00B55EA9"/>
    <w:rsid w:val="00B572A1"/>
    <w:rsid w:val="00B63363"/>
    <w:rsid w:val="00B63D89"/>
    <w:rsid w:val="00B65075"/>
    <w:rsid w:val="00B66602"/>
    <w:rsid w:val="00B6788D"/>
    <w:rsid w:val="00B71403"/>
    <w:rsid w:val="00B75261"/>
    <w:rsid w:val="00B760B5"/>
    <w:rsid w:val="00B77BEE"/>
    <w:rsid w:val="00B805A3"/>
    <w:rsid w:val="00B8334D"/>
    <w:rsid w:val="00B8392E"/>
    <w:rsid w:val="00B848CC"/>
    <w:rsid w:val="00B8679D"/>
    <w:rsid w:val="00B86896"/>
    <w:rsid w:val="00B87543"/>
    <w:rsid w:val="00B91EB9"/>
    <w:rsid w:val="00B93989"/>
    <w:rsid w:val="00B96BB8"/>
    <w:rsid w:val="00BA089F"/>
    <w:rsid w:val="00BA2EAB"/>
    <w:rsid w:val="00BA33AB"/>
    <w:rsid w:val="00BA6F3C"/>
    <w:rsid w:val="00BA7D38"/>
    <w:rsid w:val="00BB0662"/>
    <w:rsid w:val="00BB10DB"/>
    <w:rsid w:val="00BB1521"/>
    <w:rsid w:val="00BB1DC2"/>
    <w:rsid w:val="00BC0BD2"/>
    <w:rsid w:val="00BC3494"/>
    <w:rsid w:val="00BD0E51"/>
    <w:rsid w:val="00BD14CB"/>
    <w:rsid w:val="00BD3C04"/>
    <w:rsid w:val="00BD5098"/>
    <w:rsid w:val="00BD5E7F"/>
    <w:rsid w:val="00BD5EC4"/>
    <w:rsid w:val="00BD6555"/>
    <w:rsid w:val="00BD6B54"/>
    <w:rsid w:val="00BD77AA"/>
    <w:rsid w:val="00BE1ACB"/>
    <w:rsid w:val="00BE6054"/>
    <w:rsid w:val="00BE6345"/>
    <w:rsid w:val="00BF31DB"/>
    <w:rsid w:val="00C027B8"/>
    <w:rsid w:val="00C029ED"/>
    <w:rsid w:val="00C062DC"/>
    <w:rsid w:val="00C06BAF"/>
    <w:rsid w:val="00C06E19"/>
    <w:rsid w:val="00C07CC2"/>
    <w:rsid w:val="00C15802"/>
    <w:rsid w:val="00C1583B"/>
    <w:rsid w:val="00C207A7"/>
    <w:rsid w:val="00C22FCA"/>
    <w:rsid w:val="00C23A8E"/>
    <w:rsid w:val="00C264B5"/>
    <w:rsid w:val="00C31205"/>
    <w:rsid w:val="00C338D2"/>
    <w:rsid w:val="00C35873"/>
    <w:rsid w:val="00C36E8A"/>
    <w:rsid w:val="00C377BD"/>
    <w:rsid w:val="00C37FF7"/>
    <w:rsid w:val="00C40819"/>
    <w:rsid w:val="00C40F81"/>
    <w:rsid w:val="00C422B6"/>
    <w:rsid w:val="00C4619B"/>
    <w:rsid w:val="00C4704B"/>
    <w:rsid w:val="00C500BE"/>
    <w:rsid w:val="00C50768"/>
    <w:rsid w:val="00C509CB"/>
    <w:rsid w:val="00C50A66"/>
    <w:rsid w:val="00C5203F"/>
    <w:rsid w:val="00C53BEA"/>
    <w:rsid w:val="00C53C4C"/>
    <w:rsid w:val="00C574F4"/>
    <w:rsid w:val="00C57EF8"/>
    <w:rsid w:val="00C76515"/>
    <w:rsid w:val="00C774E7"/>
    <w:rsid w:val="00C8266C"/>
    <w:rsid w:val="00C8419E"/>
    <w:rsid w:val="00C8697F"/>
    <w:rsid w:val="00C873CF"/>
    <w:rsid w:val="00C91BBB"/>
    <w:rsid w:val="00C92CDE"/>
    <w:rsid w:val="00C93F10"/>
    <w:rsid w:val="00C94D61"/>
    <w:rsid w:val="00C94E29"/>
    <w:rsid w:val="00C9777C"/>
    <w:rsid w:val="00CA1147"/>
    <w:rsid w:val="00CA29BA"/>
    <w:rsid w:val="00CA2F6F"/>
    <w:rsid w:val="00CA3221"/>
    <w:rsid w:val="00CA399B"/>
    <w:rsid w:val="00CA39DC"/>
    <w:rsid w:val="00CA3AC0"/>
    <w:rsid w:val="00CA48E6"/>
    <w:rsid w:val="00CA530B"/>
    <w:rsid w:val="00CA7846"/>
    <w:rsid w:val="00CB04F1"/>
    <w:rsid w:val="00CB06DC"/>
    <w:rsid w:val="00CB1145"/>
    <w:rsid w:val="00CB422A"/>
    <w:rsid w:val="00CB7024"/>
    <w:rsid w:val="00CB7BEC"/>
    <w:rsid w:val="00CC429E"/>
    <w:rsid w:val="00CC7ABF"/>
    <w:rsid w:val="00CD14FC"/>
    <w:rsid w:val="00CD3E1E"/>
    <w:rsid w:val="00CD435E"/>
    <w:rsid w:val="00CD79DA"/>
    <w:rsid w:val="00CE30D5"/>
    <w:rsid w:val="00CE38F8"/>
    <w:rsid w:val="00CE3949"/>
    <w:rsid w:val="00CE6D33"/>
    <w:rsid w:val="00CE7D46"/>
    <w:rsid w:val="00CF0D91"/>
    <w:rsid w:val="00CF71C9"/>
    <w:rsid w:val="00D103BF"/>
    <w:rsid w:val="00D13BD0"/>
    <w:rsid w:val="00D1522E"/>
    <w:rsid w:val="00D15FE3"/>
    <w:rsid w:val="00D21FC1"/>
    <w:rsid w:val="00D21FEB"/>
    <w:rsid w:val="00D25052"/>
    <w:rsid w:val="00D252B7"/>
    <w:rsid w:val="00D26326"/>
    <w:rsid w:val="00D32FC5"/>
    <w:rsid w:val="00D33001"/>
    <w:rsid w:val="00D35312"/>
    <w:rsid w:val="00D421FA"/>
    <w:rsid w:val="00D439EF"/>
    <w:rsid w:val="00D4797F"/>
    <w:rsid w:val="00D5032B"/>
    <w:rsid w:val="00D50B4D"/>
    <w:rsid w:val="00D5733C"/>
    <w:rsid w:val="00D62FDC"/>
    <w:rsid w:val="00D65C53"/>
    <w:rsid w:val="00D66A08"/>
    <w:rsid w:val="00D66EBE"/>
    <w:rsid w:val="00D70256"/>
    <w:rsid w:val="00D70838"/>
    <w:rsid w:val="00D74289"/>
    <w:rsid w:val="00D76E95"/>
    <w:rsid w:val="00D7720F"/>
    <w:rsid w:val="00D805E0"/>
    <w:rsid w:val="00D81EFE"/>
    <w:rsid w:val="00D8230C"/>
    <w:rsid w:val="00D82B5F"/>
    <w:rsid w:val="00D8621F"/>
    <w:rsid w:val="00D8662E"/>
    <w:rsid w:val="00D901F3"/>
    <w:rsid w:val="00D92305"/>
    <w:rsid w:val="00D92752"/>
    <w:rsid w:val="00D927F1"/>
    <w:rsid w:val="00D93321"/>
    <w:rsid w:val="00D9499B"/>
    <w:rsid w:val="00D963B9"/>
    <w:rsid w:val="00D96959"/>
    <w:rsid w:val="00DA01AE"/>
    <w:rsid w:val="00DA107B"/>
    <w:rsid w:val="00DA498B"/>
    <w:rsid w:val="00DB27FF"/>
    <w:rsid w:val="00DB3A5C"/>
    <w:rsid w:val="00DB4DE8"/>
    <w:rsid w:val="00DB74F8"/>
    <w:rsid w:val="00DC09E6"/>
    <w:rsid w:val="00DC388A"/>
    <w:rsid w:val="00DC3D2E"/>
    <w:rsid w:val="00DD5C9A"/>
    <w:rsid w:val="00DE1B12"/>
    <w:rsid w:val="00DE2A2C"/>
    <w:rsid w:val="00DE2DE4"/>
    <w:rsid w:val="00DF071D"/>
    <w:rsid w:val="00DF35F8"/>
    <w:rsid w:val="00DF4612"/>
    <w:rsid w:val="00E00D47"/>
    <w:rsid w:val="00E02D83"/>
    <w:rsid w:val="00E15ECB"/>
    <w:rsid w:val="00E2294B"/>
    <w:rsid w:val="00E241BD"/>
    <w:rsid w:val="00E24631"/>
    <w:rsid w:val="00E267C3"/>
    <w:rsid w:val="00E27050"/>
    <w:rsid w:val="00E306B3"/>
    <w:rsid w:val="00E30E97"/>
    <w:rsid w:val="00E34AFE"/>
    <w:rsid w:val="00E37D3C"/>
    <w:rsid w:val="00E40CA8"/>
    <w:rsid w:val="00E42763"/>
    <w:rsid w:val="00E4778E"/>
    <w:rsid w:val="00E5295C"/>
    <w:rsid w:val="00E53382"/>
    <w:rsid w:val="00E53FAC"/>
    <w:rsid w:val="00E55920"/>
    <w:rsid w:val="00E56B6C"/>
    <w:rsid w:val="00E56C07"/>
    <w:rsid w:val="00E614F3"/>
    <w:rsid w:val="00E64D37"/>
    <w:rsid w:val="00E67825"/>
    <w:rsid w:val="00E71D5D"/>
    <w:rsid w:val="00E731C3"/>
    <w:rsid w:val="00E86108"/>
    <w:rsid w:val="00E94E19"/>
    <w:rsid w:val="00E96B83"/>
    <w:rsid w:val="00EB0957"/>
    <w:rsid w:val="00EB4997"/>
    <w:rsid w:val="00EB55D0"/>
    <w:rsid w:val="00EB731F"/>
    <w:rsid w:val="00EB73EC"/>
    <w:rsid w:val="00EC1AAE"/>
    <w:rsid w:val="00EC2C3A"/>
    <w:rsid w:val="00EC49CC"/>
    <w:rsid w:val="00EC63D8"/>
    <w:rsid w:val="00ED17E6"/>
    <w:rsid w:val="00ED6D62"/>
    <w:rsid w:val="00EE24E2"/>
    <w:rsid w:val="00EE33CE"/>
    <w:rsid w:val="00EE6E02"/>
    <w:rsid w:val="00EE78FB"/>
    <w:rsid w:val="00EF0D3F"/>
    <w:rsid w:val="00EF1B12"/>
    <w:rsid w:val="00EF6456"/>
    <w:rsid w:val="00EF699E"/>
    <w:rsid w:val="00F02049"/>
    <w:rsid w:val="00F053C0"/>
    <w:rsid w:val="00F057D5"/>
    <w:rsid w:val="00F0601A"/>
    <w:rsid w:val="00F06D91"/>
    <w:rsid w:val="00F12BF3"/>
    <w:rsid w:val="00F137CA"/>
    <w:rsid w:val="00F20093"/>
    <w:rsid w:val="00F23D16"/>
    <w:rsid w:val="00F24E02"/>
    <w:rsid w:val="00F35431"/>
    <w:rsid w:val="00F40AC5"/>
    <w:rsid w:val="00F41819"/>
    <w:rsid w:val="00F47DB3"/>
    <w:rsid w:val="00F505D7"/>
    <w:rsid w:val="00F50CDF"/>
    <w:rsid w:val="00F51448"/>
    <w:rsid w:val="00F56750"/>
    <w:rsid w:val="00F56E18"/>
    <w:rsid w:val="00F57A28"/>
    <w:rsid w:val="00F61E0E"/>
    <w:rsid w:val="00F629F5"/>
    <w:rsid w:val="00F64774"/>
    <w:rsid w:val="00F65937"/>
    <w:rsid w:val="00F72641"/>
    <w:rsid w:val="00F73467"/>
    <w:rsid w:val="00F80E33"/>
    <w:rsid w:val="00F810FE"/>
    <w:rsid w:val="00F831BB"/>
    <w:rsid w:val="00F8381F"/>
    <w:rsid w:val="00F84A72"/>
    <w:rsid w:val="00F857F5"/>
    <w:rsid w:val="00F9290B"/>
    <w:rsid w:val="00F92C77"/>
    <w:rsid w:val="00F94488"/>
    <w:rsid w:val="00F94DB8"/>
    <w:rsid w:val="00F96537"/>
    <w:rsid w:val="00FA094E"/>
    <w:rsid w:val="00FA0F04"/>
    <w:rsid w:val="00FA2526"/>
    <w:rsid w:val="00FA31BC"/>
    <w:rsid w:val="00FA67E9"/>
    <w:rsid w:val="00FA7D4F"/>
    <w:rsid w:val="00FB07BC"/>
    <w:rsid w:val="00FB15EE"/>
    <w:rsid w:val="00FB27AB"/>
    <w:rsid w:val="00FB51EF"/>
    <w:rsid w:val="00FB711B"/>
    <w:rsid w:val="00FC09A4"/>
    <w:rsid w:val="00FC0F2E"/>
    <w:rsid w:val="00FC2294"/>
    <w:rsid w:val="00FC3F97"/>
    <w:rsid w:val="00FC5410"/>
    <w:rsid w:val="00FC5D2A"/>
    <w:rsid w:val="00FC6259"/>
    <w:rsid w:val="00FD074E"/>
    <w:rsid w:val="00FD084C"/>
    <w:rsid w:val="00FD152B"/>
    <w:rsid w:val="00FD52D3"/>
    <w:rsid w:val="00FD61F6"/>
    <w:rsid w:val="00FD71A7"/>
    <w:rsid w:val="00FE34A6"/>
    <w:rsid w:val="00FE3EE4"/>
    <w:rsid w:val="00FE49E3"/>
    <w:rsid w:val="00FE5A2D"/>
    <w:rsid w:val="00FE67F7"/>
    <w:rsid w:val="00FF024C"/>
    <w:rsid w:val="00FF275E"/>
    <w:rsid w:val="00FF4CEA"/>
    <w:rsid w:val="010677FD"/>
    <w:rsid w:val="010D0979"/>
    <w:rsid w:val="010D7DD7"/>
    <w:rsid w:val="0150744A"/>
    <w:rsid w:val="01536131"/>
    <w:rsid w:val="01545A05"/>
    <w:rsid w:val="016043AA"/>
    <w:rsid w:val="01877B89"/>
    <w:rsid w:val="01AC3A93"/>
    <w:rsid w:val="01B21A18"/>
    <w:rsid w:val="01BC03E7"/>
    <w:rsid w:val="01BD7A4F"/>
    <w:rsid w:val="01CA5C47"/>
    <w:rsid w:val="01D34B7C"/>
    <w:rsid w:val="01E0427F"/>
    <w:rsid w:val="01E23011"/>
    <w:rsid w:val="01E25ABE"/>
    <w:rsid w:val="01E45AB8"/>
    <w:rsid w:val="01EE7C08"/>
    <w:rsid w:val="01F3041C"/>
    <w:rsid w:val="01FA65AD"/>
    <w:rsid w:val="02094A42"/>
    <w:rsid w:val="02130E8E"/>
    <w:rsid w:val="021A27AB"/>
    <w:rsid w:val="02247ACE"/>
    <w:rsid w:val="0225600D"/>
    <w:rsid w:val="024617F2"/>
    <w:rsid w:val="024740A5"/>
    <w:rsid w:val="024C6CE4"/>
    <w:rsid w:val="024E4B4B"/>
    <w:rsid w:val="025A0021"/>
    <w:rsid w:val="025E5E0C"/>
    <w:rsid w:val="026914D6"/>
    <w:rsid w:val="026E3E85"/>
    <w:rsid w:val="02775E4F"/>
    <w:rsid w:val="028842F3"/>
    <w:rsid w:val="02924A37"/>
    <w:rsid w:val="02A97FD3"/>
    <w:rsid w:val="02C07B5B"/>
    <w:rsid w:val="02D54924"/>
    <w:rsid w:val="02D7403E"/>
    <w:rsid w:val="02F0538D"/>
    <w:rsid w:val="02F97C8A"/>
    <w:rsid w:val="02FE3F2A"/>
    <w:rsid w:val="03062FFD"/>
    <w:rsid w:val="0311094D"/>
    <w:rsid w:val="03127926"/>
    <w:rsid w:val="03192A63"/>
    <w:rsid w:val="031B2C7F"/>
    <w:rsid w:val="03545B4C"/>
    <w:rsid w:val="03546806"/>
    <w:rsid w:val="0374413D"/>
    <w:rsid w:val="03764359"/>
    <w:rsid w:val="03824AAC"/>
    <w:rsid w:val="03887BE8"/>
    <w:rsid w:val="039E11BA"/>
    <w:rsid w:val="03A04F32"/>
    <w:rsid w:val="03A32C74"/>
    <w:rsid w:val="03A4242B"/>
    <w:rsid w:val="03AA4003"/>
    <w:rsid w:val="03C751C9"/>
    <w:rsid w:val="03C96D2F"/>
    <w:rsid w:val="03D746CC"/>
    <w:rsid w:val="03E219EE"/>
    <w:rsid w:val="03EC0177"/>
    <w:rsid w:val="03F1578E"/>
    <w:rsid w:val="03F63207"/>
    <w:rsid w:val="03F82FC0"/>
    <w:rsid w:val="040134DD"/>
    <w:rsid w:val="04207E21"/>
    <w:rsid w:val="042F62B6"/>
    <w:rsid w:val="04351B1E"/>
    <w:rsid w:val="0440268E"/>
    <w:rsid w:val="044135D4"/>
    <w:rsid w:val="04463D2B"/>
    <w:rsid w:val="04581CB1"/>
    <w:rsid w:val="045A77D7"/>
    <w:rsid w:val="04625E5C"/>
    <w:rsid w:val="046643CE"/>
    <w:rsid w:val="04665F00"/>
    <w:rsid w:val="04673CA2"/>
    <w:rsid w:val="046E5030"/>
    <w:rsid w:val="049727D9"/>
    <w:rsid w:val="04A143F5"/>
    <w:rsid w:val="04A24CDA"/>
    <w:rsid w:val="04AA4393"/>
    <w:rsid w:val="04AD0340"/>
    <w:rsid w:val="04B75458"/>
    <w:rsid w:val="04BD1B14"/>
    <w:rsid w:val="04BD7D66"/>
    <w:rsid w:val="04C11604"/>
    <w:rsid w:val="04CA4F95"/>
    <w:rsid w:val="04CD398A"/>
    <w:rsid w:val="04D74983"/>
    <w:rsid w:val="04DC4690"/>
    <w:rsid w:val="04EE7F1F"/>
    <w:rsid w:val="04F05A45"/>
    <w:rsid w:val="05010AE8"/>
    <w:rsid w:val="050648F2"/>
    <w:rsid w:val="05080FE1"/>
    <w:rsid w:val="05121E5F"/>
    <w:rsid w:val="0521539E"/>
    <w:rsid w:val="052A5638"/>
    <w:rsid w:val="05380311"/>
    <w:rsid w:val="0548177D"/>
    <w:rsid w:val="054E6624"/>
    <w:rsid w:val="05537D0A"/>
    <w:rsid w:val="05611EC8"/>
    <w:rsid w:val="057167A1"/>
    <w:rsid w:val="0575231F"/>
    <w:rsid w:val="057E5747"/>
    <w:rsid w:val="05832150"/>
    <w:rsid w:val="058F0F75"/>
    <w:rsid w:val="0596173A"/>
    <w:rsid w:val="05985434"/>
    <w:rsid w:val="05A02E79"/>
    <w:rsid w:val="05B240B9"/>
    <w:rsid w:val="05B25536"/>
    <w:rsid w:val="05C608ED"/>
    <w:rsid w:val="05CD7550"/>
    <w:rsid w:val="05CF1AFF"/>
    <w:rsid w:val="05D13AC9"/>
    <w:rsid w:val="05D830A9"/>
    <w:rsid w:val="05E05ABA"/>
    <w:rsid w:val="05EB7976"/>
    <w:rsid w:val="05FD48BE"/>
    <w:rsid w:val="06022644"/>
    <w:rsid w:val="060C68AF"/>
    <w:rsid w:val="061513BA"/>
    <w:rsid w:val="061B4D44"/>
    <w:rsid w:val="06231F6B"/>
    <w:rsid w:val="0627193B"/>
    <w:rsid w:val="062864BE"/>
    <w:rsid w:val="062D4B10"/>
    <w:rsid w:val="062E5CA0"/>
    <w:rsid w:val="0633208D"/>
    <w:rsid w:val="06336531"/>
    <w:rsid w:val="06383B48"/>
    <w:rsid w:val="063F6C84"/>
    <w:rsid w:val="06484896"/>
    <w:rsid w:val="065344DE"/>
    <w:rsid w:val="065B3392"/>
    <w:rsid w:val="066C37F1"/>
    <w:rsid w:val="067D155B"/>
    <w:rsid w:val="067F1777"/>
    <w:rsid w:val="06897EFF"/>
    <w:rsid w:val="06927957"/>
    <w:rsid w:val="06985B68"/>
    <w:rsid w:val="069E3612"/>
    <w:rsid w:val="06A90370"/>
    <w:rsid w:val="06AD62E4"/>
    <w:rsid w:val="06B050AF"/>
    <w:rsid w:val="06B963C3"/>
    <w:rsid w:val="06BB4699"/>
    <w:rsid w:val="06BF6017"/>
    <w:rsid w:val="06CE625A"/>
    <w:rsid w:val="06D426C9"/>
    <w:rsid w:val="06DE6B97"/>
    <w:rsid w:val="06E11AE9"/>
    <w:rsid w:val="06E23AB3"/>
    <w:rsid w:val="06E415DA"/>
    <w:rsid w:val="06F54F23"/>
    <w:rsid w:val="07097292"/>
    <w:rsid w:val="070A6E58"/>
    <w:rsid w:val="070E664D"/>
    <w:rsid w:val="071579E5"/>
    <w:rsid w:val="071C0D73"/>
    <w:rsid w:val="07200CE4"/>
    <w:rsid w:val="072916E2"/>
    <w:rsid w:val="072C2F43"/>
    <w:rsid w:val="073A094A"/>
    <w:rsid w:val="073A744C"/>
    <w:rsid w:val="07443F60"/>
    <w:rsid w:val="07462294"/>
    <w:rsid w:val="074E2D4C"/>
    <w:rsid w:val="075449B1"/>
    <w:rsid w:val="07554280"/>
    <w:rsid w:val="078F59E9"/>
    <w:rsid w:val="07916D09"/>
    <w:rsid w:val="07940902"/>
    <w:rsid w:val="07A14D60"/>
    <w:rsid w:val="07A72E06"/>
    <w:rsid w:val="07AD656C"/>
    <w:rsid w:val="07BD65C4"/>
    <w:rsid w:val="07ED0962"/>
    <w:rsid w:val="07FD79D6"/>
    <w:rsid w:val="08057A5A"/>
    <w:rsid w:val="080F10BE"/>
    <w:rsid w:val="080F6B2A"/>
    <w:rsid w:val="081859DF"/>
    <w:rsid w:val="081C6819"/>
    <w:rsid w:val="0837218F"/>
    <w:rsid w:val="08412327"/>
    <w:rsid w:val="08470072"/>
    <w:rsid w:val="08493DEA"/>
    <w:rsid w:val="084A7135"/>
    <w:rsid w:val="085409E1"/>
    <w:rsid w:val="08584823"/>
    <w:rsid w:val="08710708"/>
    <w:rsid w:val="087D2DFB"/>
    <w:rsid w:val="087D71AA"/>
    <w:rsid w:val="087F116D"/>
    <w:rsid w:val="08816E02"/>
    <w:rsid w:val="08892439"/>
    <w:rsid w:val="0891753F"/>
    <w:rsid w:val="08935065"/>
    <w:rsid w:val="089D4136"/>
    <w:rsid w:val="08B6440D"/>
    <w:rsid w:val="08B672A0"/>
    <w:rsid w:val="08CE2541"/>
    <w:rsid w:val="08DD4532"/>
    <w:rsid w:val="08F024B8"/>
    <w:rsid w:val="09187C60"/>
    <w:rsid w:val="091A7C6C"/>
    <w:rsid w:val="091C30B6"/>
    <w:rsid w:val="092108C3"/>
    <w:rsid w:val="09212671"/>
    <w:rsid w:val="0922463B"/>
    <w:rsid w:val="09285553"/>
    <w:rsid w:val="094952AB"/>
    <w:rsid w:val="094F3A7D"/>
    <w:rsid w:val="09545D5A"/>
    <w:rsid w:val="095A5B83"/>
    <w:rsid w:val="09664528"/>
    <w:rsid w:val="09672297"/>
    <w:rsid w:val="096B2F12"/>
    <w:rsid w:val="09842A94"/>
    <w:rsid w:val="09976DD7"/>
    <w:rsid w:val="09980064"/>
    <w:rsid w:val="09AA6B0A"/>
    <w:rsid w:val="09AD6DA0"/>
    <w:rsid w:val="09B733CF"/>
    <w:rsid w:val="09CA0F5B"/>
    <w:rsid w:val="09E244F6"/>
    <w:rsid w:val="09FC3DED"/>
    <w:rsid w:val="0A017CA5"/>
    <w:rsid w:val="0A083831"/>
    <w:rsid w:val="0A0F4BBF"/>
    <w:rsid w:val="0A165F4E"/>
    <w:rsid w:val="0A177FBB"/>
    <w:rsid w:val="0A2C751F"/>
    <w:rsid w:val="0A32516E"/>
    <w:rsid w:val="0A3B5E4F"/>
    <w:rsid w:val="0A3E36F7"/>
    <w:rsid w:val="0A534A68"/>
    <w:rsid w:val="0A5847B8"/>
    <w:rsid w:val="0A5D129E"/>
    <w:rsid w:val="0A6F73CD"/>
    <w:rsid w:val="0A7316DF"/>
    <w:rsid w:val="0A766D81"/>
    <w:rsid w:val="0A7E3AF3"/>
    <w:rsid w:val="0A7E3E50"/>
    <w:rsid w:val="0A8A4B5C"/>
    <w:rsid w:val="0A915C28"/>
    <w:rsid w:val="0A9645B6"/>
    <w:rsid w:val="0A9652E1"/>
    <w:rsid w:val="0A996E90"/>
    <w:rsid w:val="0A9E7CF1"/>
    <w:rsid w:val="0AA411F3"/>
    <w:rsid w:val="0ACB1529"/>
    <w:rsid w:val="0ACC0D02"/>
    <w:rsid w:val="0AD16319"/>
    <w:rsid w:val="0AD61B81"/>
    <w:rsid w:val="0ADD4CBE"/>
    <w:rsid w:val="0AE47DFA"/>
    <w:rsid w:val="0AE743BE"/>
    <w:rsid w:val="0AE840F1"/>
    <w:rsid w:val="0AEC4F01"/>
    <w:rsid w:val="0AFE58D7"/>
    <w:rsid w:val="0B022976"/>
    <w:rsid w:val="0B0C7351"/>
    <w:rsid w:val="0B0E781A"/>
    <w:rsid w:val="0B1412DE"/>
    <w:rsid w:val="0B3E0B27"/>
    <w:rsid w:val="0B460AB5"/>
    <w:rsid w:val="0B6251C3"/>
    <w:rsid w:val="0B7078E0"/>
    <w:rsid w:val="0B7C44D7"/>
    <w:rsid w:val="0B7F7B23"/>
    <w:rsid w:val="0B84338B"/>
    <w:rsid w:val="0B8E7D66"/>
    <w:rsid w:val="0B900166"/>
    <w:rsid w:val="0B996E37"/>
    <w:rsid w:val="0B9B6F08"/>
    <w:rsid w:val="0BA13F3D"/>
    <w:rsid w:val="0BB84DE3"/>
    <w:rsid w:val="0BB91287"/>
    <w:rsid w:val="0BB93391"/>
    <w:rsid w:val="0BBF6A1F"/>
    <w:rsid w:val="0BC16775"/>
    <w:rsid w:val="0BCC0102"/>
    <w:rsid w:val="0BCF0AAA"/>
    <w:rsid w:val="0BD065D0"/>
    <w:rsid w:val="0BEB07E5"/>
    <w:rsid w:val="0C01678A"/>
    <w:rsid w:val="0C055C11"/>
    <w:rsid w:val="0C261DCE"/>
    <w:rsid w:val="0C2A095B"/>
    <w:rsid w:val="0C403756"/>
    <w:rsid w:val="0C4C060D"/>
    <w:rsid w:val="0C5138FA"/>
    <w:rsid w:val="0C5B2C36"/>
    <w:rsid w:val="0C612EBC"/>
    <w:rsid w:val="0C6A07D3"/>
    <w:rsid w:val="0C7F2B27"/>
    <w:rsid w:val="0C853538"/>
    <w:rsid w:val="0C917B0E"/>
    <w:rsid w:val="0C9D0F3D"/>
    <w:rsid w:val="0C9D5046"/>
    <w:rsid w:val="0C9E222B"/>
    <w:rsid w:val="0C9F66CF"/>
    <w:rsid w:val="0CA30DC4"/>
    <w:rsid w:val="0CA53682"/>
    <w:rsid w:val="0CA57A5D"/>
    <w:rsid w:val="0CB67574"/>
    <w:rsid w:val="0CC62E79"/>
    <w:rsid w:val="0CD65E68"/>
    <w:rsid w:val="0CEC743A"/>
    <w:rsid w:val="0CFD5169"/>
    <w:rsid w:val="0D037D85"/>
    <w:rsid w:val="0D246BD4"/>
    <w:rsid w:val="0D265FB9"/>
    <w:rsid w:val="0D2A2C87"/>
    <w:rsid w:val="0D2F4585"/>
    <w:rsid w:val="0D42705A"/>
    <w:rsid w:val="0D4A7900"/>
    <w:rsid w:val="0D4C7ED9"/>
    <w:rsid w:val="0D4E59FF"/>
    <w:rsid w:val="0D5F5E5E"/>
    <w:rsid w:val="0D5F7C0C"/>
    <w:rsid w:val="0D6D04FB"/>
    <w:rsid w:val="0D7D4536"/>
    <w:rsid w:val="0D7F0FF2"/>
    <w:rsid w:val="0D892EDB"/>
    <w:rsid w:val="0D922CCC"/>
    <w:rsid w:val="0DAB373F"/>
    <w:rsid w:val="0DB10B15"/>
    <w:rsid w:val="0DB937C0"/>
    <w:rsid w:val="0DEC5606"/>
    <w:rsid w:val="0DF6340F"/>
    <w:rsid w:val="0DF759EC"/>
    <w:rsid w:val="0E0003F5"/>
    <w:rsid w:val="0E0D58BA"/>
    <w:rsid w:val="0E131438"/>
    <w:rsid w:val="0E2A021A"/>
    <w:rsid w:val="0E300CCB"/>
    <w:rsid w:val="0E34332C"/>
    <w:rsid w:val="0E360478"/>
    <w:rsid w:val="0E484539"/>
    <w:rsid w:val="0E4E6F98"/>
    <w:rsid w:val="0E590AC2"/>
    <w:rsid w:val="0E59465B"/>
    <w:rsid w:val="0E6A1AC5"/>
    <w:rsid w:val="0E6F1FEA"/>
    <w:rsid w:val="0E8E4A9A"/>
    <w:rsid w:val="0E8F346F"/>
    <w:rsid w:val="0E9561E9"/>
    <w:rsid w:val="0EA76728"/>
    <w:rsid w:val="0EAB39BC"/>
    <w:rsid w:val="0EAE0E4B"/>
    <w:rsid w:val="0EAF060F"/>
    <w:rsid w:val="0EBB5316"/>
    <w:rsid w:val="0EBD5AF0"/>
    <w:rsid w:val="0EC44874"/>
    <w:rsid w:val="0ECB06E8"/>
    <w:rsid w:val="0EDD34DE"/>
    <w:rsid w:val="0EE4486D"/>
    <w:rsid w:val="0EE867D6"/>
    <w:rsid w:val="0EEF4FBF"/>
    <w:rsid w:val="0EF24AB8"/>
    <w:rsid w:val="0EF40828"/>
    <w:rsid w:val="0EF83E74"/>
    <w:rsid w:val="0F00662C"/>
    <w:rsid w:val="0F0947E6"/>
    <w:rsid w:val="0F112BA2"/>
    <w:rsid w:val="0F16079E"/>
    <w:rsid w:val="0F16254C"/>
    <w:rsid w:val="0F2E646B"/>
    <w:rsid w:val="0F4946D0"/>
    <w:rsid w:val="0F4B5E20"/>
    <w:rsid w:val="0F5E215B"/>
    <w:rsid w:val="0F5E7024"/>
    <w:rsid w:val="0F6253CB"/>
    <w:rsid w:val="0F7306C4"/>
    <w:rsid w:val="0F73174D"/>
    <w:rsid w:val="0F7416D3"/>
    <w:rsid w:val="0F755356"/>
    <w:rsid w:val="0F995CE4"/>
    <w:rsid w:val="0FA77648"/>
    <w:rsid w:val="0FB938EE"/>
    <w:rsid w:val="0FC87CEA"/>
    <w:rsid w:val="0FCA4128"/>
    <w:rsid w:val="0FD056DD"/>
    <w:rsid w:val="0FDE362F"/>
    <w:rsid w:val="0FE10B54"/>
    <w:rsid w:val="0FE20680"/>
    <w:rsid w:val="0FE268D2"/>
    <w:rsid w:val="0FF521C8"/>
    <w:rsid w:val="0FFF1232"/>
    <w:rsid w:val="10094E47"/>
    <w:rsid w:val="100E76C7"/>
    <w:rsid w:val="101A2DB8"/>
    <w:rsid w:val="1021389E"/>
    <w:rsid w:val="102D3FF1"/>
    <w:rsid w:val="10307BFB"/>
    <w:rsid w:val="1031756B"/>
    <w:rsid w:val="10376C1E"/>
    <w:rsid w:val="103855F9"/>
    <w:rsid w:val="104B3684"/>
    <w:rsid w:val="10616A49"/>
    <w:rsid w:val="106612B1"/>
    <w:rsid w:val="10686DD7"/>
    <w:rsid w:val="106A6FF4"/>
    <w:rsid w:val="106D2640"/>
    <w:rsid w:val="10741A50"/>
    <w:rsid w:val="10771710"/>
    <w:rsid w:val="10797237"/>
    <w:rsid w:val="107A55F0"/>
    <w:rsid w:val="10802FF2"/>
    <w:rsid w:val="108C6F6A"/>
    <w:rsid w:val="109202F8"/>
    <w:rsid w:val="10981E8E"/>
    <w:rsid w:val="10A63D2D"/>
    <w:rsid w:val="10B464C1"/>
    <w:rsid w:val="10B65D95"/>
    <w:rsid w:val="10BB513E"/>
    <w:rsid w:val="10BC0A12"/>
    <w:rsid w:val="10BC59EE"/>
    <w:rsid w:val="10C009C2"/>
    <w:rsid w:val="10C85AC8"/>
    <w:rsid w:val="10CC2784"/>
    <w:rsid w:val="10D206F5"/>
    <w:rsid w:val="10D91A83"/>
    <w:rsid w:val="10E037A1"/>
    <w:rsid w:val="10F20A88"/>
    <w:rsid w:val="10F863AD"/>
    <w:rsid w:val="11072A94"/>
    <w:rsid w:val="110765F0"/>
    <w:rsid w:val="1109680C"/>
    <w:rsid w:val="11124F95"/>
    <w:rsid w:val="112E2143"/>
    <w:rsid w:val="116457F1"/>
    <w:rsid w:val="116A0647"/>
    <w:rsid w:val="117240CA"/>
    <w:rsid w:val="1173012A"/>
    <w:rsid w:val="118714DF"/>
    <w:rsid w:val="118865E2"/>
    <w:rsid w:val="119E68F1"/>
    <w:rsid w:val="11C3441F"/>
    <w:rsid w:val="11CC15E8"/>
    <w:rsid w:val="11D4470B"/>
    <w:rsid w:val="11DF30C9"/>
    <w:rsid w:val="11E72AA0"/>
    <w:rsid w:val="11E979A3"/>
    <w:rsid w:val="11ED5817"/>
    <w:rsid w:val="11F272A1"/>
    <w:rsid w:val="11F27300"/>
    <w:rsid w:val="11FE3E97"/>
    <w:rsid w:val="11FF770F"/>
    <w:rsid w:val="1209283C"/>
    <w:rsid w:val="12236EB5"/>
    <w:rsid w:val="122B27B2"/>
    <w:rsid w:val="122D22A7"/>
    <w:rsid w:val="12533B52"/>
    <w:rsid w:val="125A3098"/>
    <w:rsid w:val="125C0BBE"/>
    <w:rsid w:val="125D0492"/>
    <w:rsid w:val="12614426"/>
    <w:rsid w:val="126656EA"/>
    <w:rsid w:val="12865C3B"/>
    <w:rsid w:val="12942106"/>
    <w:rsid w:val="12A32349"/>
    <w:rsid w:val="12A356FC"/>
    <w:rsid w:val="12A54313"/>
    <w:rsid w:val="12A74175"/>
    <w:rsid w:val="12CA28C9"/>
    <w:rsid w:val="12D746E8"/>
    <w:rsid w:val="12DA1A1B"/>
    <w:rsid w:val="12DC1601"/>
    <w:rsid w:val="12DC4263"/>
    <w:rsid w:val="12DE553C"/>
    <w:rsid w:val="12E31AB3"/>
    <w:rsid w:val="12E3308D"/>
    <w:rsid w:val="12EC0194"/>
    <w:rsid w:val="12EE791C"/>
    <w:rsid w:val="1303087B"/>
    <w:rsid w:val="131453C8"/>
    <w:rsid w:val="131D6EAC"/>
    <w:rsid w:val="133D09EF"/>
    <w:rsid w:val="133F1385"/>
    <w:rsid w:val="13441D7E"/>
    <w:rsid w:val="13491142"/>
    <w:rsid w:val="135B0E75"/>
    <w:rsid w:val="13632822"/>
    <w:rsid w:val="137D0DEC"/>
    <w:rsid w:val="13802975"/>
    <w:rsid w:val="138907AB"/>
    <w:rsid w:val="13895FA5"/>
    <w:rsid w:val="139B2C71"/>
    <w:rsid w:val="139D0588"/>
    <w:rsid w:val="139E0D62"/>
    <w:rsid w:val="13A20F1B"/>
    <w:rsid w:val="13AA57B4"/>
    <w:rsid w:val="13B02416"/>
    <w:rsid w:val="13B50586"/>
    <w:rsid w:val="13B642FE"/>
    <w:rsid w:val="13D808DB"/>
    <w:rsid w:val="13E16F2E"/>
    <w:rsid w:val="13E450A0"/>
    <w:rsid w:val="13E75C47"/>
    <w:rsid w:val="13EA071A"/>
    <w:rsid w:val="13F05A62"/>
    <w:rsid w:val="13F111A4"/>
    <w:rsid w:val="13FB1AF3"/>
    <w:rsid w:val="14114F14"/>
    <w:rsid w:val="14125544"/>
    <w:rsid w:val="14177DA3"/>
    <w:rsid w:val="14227BAC"/>
    <w:rsid w:val="1432607A"/>
    <w:rsid w:val="14333641"/>
    <w:rsid w:val="1444190A"/>
    <w:rsid w:val="144D5224"/>
    <w:rsid w:val="14733F9D"/>
    <w:rsid w:val="147A17CF"/>
    <w:rsid w:val="147D1163"/>
    <w:rsid w:val="147F0B94"/>
    <w:rsid w:val="14841741"/>
    <w:rsid w:val="1495489A"/>
    <w:rsid w:val="14A15F86"/>
    <w:rsid w:val="14A36EC5"/>
    <w:rsid w:val="14B65311"/>
    <w:rsid w:val="14BA3748"/>
    <w:rsid w:val="14BA7E1E"/>
    <w:rsid w:val="14BE16BC"/>
    <w:rsid w:val="14BF0B64"/>
    <w:rsid w:val="14C70602"/>
    <w:rsid w:val="14D34A81"/>
    <w:rsid w:val="14D5025D"/>
    <w:rsid w:val="14D70BDB"/>
    <w:rsid w:val="14DC5FE6"/>
    <w:rsid w:val="14E03136"/>
    <w:rsid w:val="14F055ED"/>
    <w:rsid w:val="14F43330"/>
    <w:rsid w:val="14FE5F5C"/>
    <w:rsid w:val="150712B5"/>
    <w:rsid w:val="1513418A"/>
    <w:rsid w:val="1513618F"/>
    <w:rsid w:val="1514752E"/>
    <w:rsid w:val="151B4D60"/>
    <w:rsid w:val="151E03AD"/>
    <w:rsid w:val="15233C15"/>
    <w:rsid w:val="1525798D"/>
    <w:rsid w:val="152D6842"/>
    <w:rsid w:val="15367C24"/>
    <w:rsid w:val="1537146E"/>
    <w:rsid w:val="15460579"/>
    <w:rsid w:val="154D0D4C"/>
    <w:rsid w:val="156F1C62"/>
    <w:rsid w:val="1573694A"/>
    <w:rsid w:val="15806971"/>
    <w:rsid w:val="15930FBB"/>
    <w:rsid w:val="15962639"/>
    <w:rsid w:val="159927CF"/>
    <w:rsid w:val="15B8610B"/>
    <w:rsid w:val="15C54CCC"/>
    <w:rsid w:val="15CA5E3E"/>
    <w:rsid w:val="15DA1999"/>
    <w:rsid w:val="15E52C78"/>
    <w:rsid w:val="15E769F0"/>
    <w:rsid w:val="15F5110D"/>
    <w:rsid w:val="161377E5"/>
    <w:rsid w:val="16184A55"/>
    <w:rsid w:val="16273291"/>
    <w:rsid w:val="16456658"/>
    <w:rsid w:val="164C2CF7"/>
    <w:rsid w:val="164E138E"/>
    <w:rsid w:val="16565924"/>
    <w:rsid w:val="166D339A"/>
    <w:rsid w:val="166F6902"/>
    <w:rsid w:val="167504A0"/>
    <w:rsid w:val="16775FC6"/>
    <w:rsid w:val="167D1103"/>
    <w:rsid w:val="16805733"/>
    <w:rsid w:val="16837CAD"/>
    <w:rsid w:val="168D5635"/>
    <w:rsid w:val="16912973"/>
    <w:rsid w:val="169620A3"/>
    <w:rsid w:val="1699418F"/>
    <w:rsid w:val="169F1079"/>
    <w:rsid w:val="16AE750E"/>
    <w:rsid w:val="16B72867"/>
    <w:rsid w:val="16BC1C2B"/>
    <w:rsid w:val="16CD208A"/>
    <w:rsid w:val="16D57191"/>
    <w:rsid w:val="16F413C5"/>
    <w:rsid w:val="16FB5268"/>
    <w:rsid w:val="171001C9"/>
    <w:rsid w:val="17224323"/>
    <w:rsid w:val="172F5DE0"/>
    <w:rsid w:val="1735378C"/>
    <w:rsid w:val="1752258F"/>
    <w:rsid w:val="176127D3"/>
    <w:rsid w:val="17683E7F"/>
    <w:rsid w:val="176B468F"/>
    <w:rsid w:val="17725CE9"/>
    <w:rsid w:val="1772678E"/>
    <w:rsid w:val="17884203"/>
    <w:rsid w:val="17964BDD"/>
    <w:rsid w:val="179B2D8B"/>
    <w:rsid w:val="179C380B"/>
    <w:rsid w:val="17A30E71"/>
    <w:rsid w:val="17B62B1E"/>
    <w:rsid w:val="17B8460B"/>
    <w:rsid w:val="17C214C3"/>
    <w:rsid w:val="17D51C87"/>
    <w:rsid w:val="17D631C0"/>
    <w:rsid w:val="17D77BD6"/>
    <w:rsid w:val="17DB2585"/>
    <w:rsid w:val="17E627B5"/>
    <w:rsid w:val="17E70F2A"/>
    <w:rsid w:val="17FE566D"/>
    <w:rsid w:val="17FF44C5"/>
    <w:rsid w:val="1804388A"/>
    <w:rsid w:val="18193D70"/>
    <w:rsid w:val="181D0DEF"/>
    <w:rsid w:val="182F467F"/>
    <w:rsid w:val="185715DB"/>
    <w:rsid w:val="185A451F"/>
    <w:rsid w:val="185A5893"/>
    <w:rsid w:val="1864257A"/>
    <w:rsid w:val="186C7681"/>
    <w:rsid w:val="186D1665"/>
    <w:rsid w:val="187F1162"/>
    <w:rsid w:val="188035F4"/>
    <w:rsid w:val="18836C66"/>
    <w:rsid w:val="18952734"/>
    <w:rsid w:val="189D5C7A"/>
    <w:rsid w:val="18AE37F5"/>
    <w:rsid w:val="18B07EC0"/>
    <w:rsid w:val="18B369CF"/>
    <w:rsid w:val="18B74DA0"/>
    <w:rsid w:val="18BA7D5A"/>
    <w:rsid w:val="18CB43A7"/>
    <w:rsid w:val="18D30994"/>
    <w:rsid w:val="18F27B86"/>
    <w:rsid w:val="18FA1684"/>
    <w:rsid w:val="18FC4F15"/>
    <w:rsid w:val="19085AB4"/>
    <w:rsid w:val="190A13FE"/>
    <w:rsid w:val="191A7EEA"/>
    <w:rsid w:val="192529BF"/>
    <w:rsid w:val="1941466A"/>
    <w:rsid w:val="19540841"/>
    <w:rsid w:val="196633DA"/>
    <w:rsid w:val="19726F19"/>
    <w:rsid w:val="19744A3F"/>
    <w:rsid w:val="197459C9"/>
    <w:rsid w:val="19753563"/>
    <w:rsid w:val="1977008B"/>
    <w:rsid w:val="19774AD4"/>
    <w:rsid w:val="1981531E"/>
    <w:rsid w:val="1981715C"/>
    <w:rsid w:val="19890725"/>
    <w:rsid w:val="198F3627"/>
    <w:rsid w:val="198F7ACB"/>
    <w:rsid w:val="19904552"/>
    <w:rsid w:val="199666CD"/>
    <w:rsid w:val="199771E0"/>
    <w:rsid w:val="199C5BAE"/>
    <w:rsid w:val="19A1335A"/>
    <w:rsid w:val="19AD67A1"/>
    <w:rsid w:val="19BE68BB"/>
    <w:rsid w:val="19C31195"/>
    <w:rsid w:val="19D379B8"/>
    <w:rsid w:val="19DA0B20"/>
    <w:rsid w:val="19DE010A"/>
    <w:rsid w:val="19DF45AE"/>
    <w:rsid w:val="19E140B3"/>
    <w:rsid w:val="19E31F20"/>
    <w:rsid w:val="19EA6632"/>
    <w:rsid w:val="19EB3DD4"/>
    <w:rsid w:val="19F6533D"/>
    <w:rsid w:val="1A004525"/>
    <w:rsid w:val="1A0155E6"/>
    <w:rsid w:val="1A0758B3"/>
    <w:rsid w:val="1A077661"/>
    <w:rsid w:val="1A0E3027"/>
    <w:rsid w:val="1A113A55"/>
    <w:rsid w:val="1A2A3A0A"/>
    <w:rsid w:val="1A331C30"/>
    <w:rsid w:val="1A381F10"/>
    <w:rsid w:val="1A3A17E5"/>
    <w:rsid w:val="1A442663"/>
    <w:rsid w:val="1A467CA5"/>
    <w:rsid w:val="1A4C776A"/>
    <w:rsid w:val="1A4F2DB6"/>
    <w:rsid w:val="1A5371C7"/>
    <w:rsid w:val="1A60786E"/>
    <w:rsid w:val="1A6A7BF0"/>
    <w:rsid w:val="1A7C633B"/>
    <w:rsid w:val="1A7D4307"/>
    <w:rsid w:val="1A82318C"/>
    <w:rsid w:val="1A935399"/>
    <w:rsid w:val="1AA12347"/>
    <w:rsid w:val="1AA55154"/>
    <w:rsid w:val="1AC12C2F"/>
    <w:rsid w:val="1AC9700C"/>
    <w:rsid w:val="1ACC4407"/>
    <w:rsid w:val="1AD5150D"/>
    <w:rsid w:val="1AD67034"/>
    <w:rsid w:val="1AEE1B5A"/>
    <w:rsid w:val="1AEF3204"/>
    <w:rsid w:val="1B034424"/>
    <w:rsid w:val="1B0E2C71"/>
    <w:rsid w:val="1B17523A"/>
    <w:rsid w:val="1B1B1AED"/>
    <w:rsid w:val="1B2327BA"/>
    <w:rsid w:val="1B285DA8"/>
    <w:rsid w:val="1B2D1349"/>
    <w:rsid w:val="1B34225F"/>
    <w:rsid w:val="1B3868FA"/>
    <w:rsid w:val="1B3E60FB"/>
    <w:rsid w:val="1B530684"/>
    <w:rsid w:val="1B6A434C"/>
    <w:rsid w:val="1B741809"/>
    <w:rsid w:val="1B7D1A47"/>
    <w:rsid w:val="1B886A2D"/>
    <w:rsid w:val="1B9719AF"/>
    <w:rsid w:val="1B9C64CF"/>
    <w:rsid w:val="1B9E2247"/>
    <w:rsid w:val="1B9E5EB2"/>
    <w:rsid w:val="1BA01B1B"/>
    <w:rsid w:val="1BA84216"/>
    <w:rsid w:val="1BC81072"/>
    <w:rsid w:val="1BDE35D8"/>
    <w:rsid w:val="1BE13DD4"/>
    <w:rsid w:val="1BE20386"/>
    <w:rsid w:val="1BE35EAC"/>
    <w:rsid w:val="1BF73705"/>
    <w:rsid w:val="1C032FC3"/>
    <w:rsid w:val="1C081B0D"/>
    <w:rsid w:val="1C0F2461"/>
    <w:rsid w:val="1C197B20"/>
    <w:rsid w:val="1C2362A8"/>
    <w:rsid w:val="1C27223D"/>
    <w:rsid w:val="1C2A75D2"/>
    <w:rsid w:val="1C387FA6"/>
    <w:rsid w:val="1C3E30E2"/>
    <w:rsid w:val="1C417161"/>
    <w:rsid w:val="1C4E1ED3"/>
    <w:rsid w:val="1C6036B0"/>
    <w:rsid w:val="1C60574F"/>
    <w:rsid w:val="1C640447"/>
    <w:rsid w:val="1C71170A"/>
    <w:rsid w:val="1C7B4A90"/>
    <w:rsid w:val="1C7D00AF"/>
    <w:rsid w:val="1C7F7983"/>
    <w:rsid w:val="1C802E64"/>
    <w:rsid w:val="1C8C02F2"/>
    <w:rsid w:val="1C8E5E18"/>
    <w:rsid w:val="1C9E2440"/>
    <w:rsid w:val="1CCD74BF"/>
    <w:rsid w:val="1CD02E5A"/>
    <w:rsid w:val="1CD221A8"/>
    <w:rsid w:val="1CD81789"/>
    <w:rsid w:val="1CDC4F69"/>
    <w:rsid w:val="1CF33ECD"/>
    <w:rsid w:val="1D07790C"/>
    <w:rsid w:val="1D077978"/>
    <w:rsid w:val="1D0B3E46"/>
    <w:rsid w:val="1D1A7519"/>
    <w:rsid w:val="1D1D2483"/>
    <w:rsid w:val="1D220E65"/>
    <w:rsid w:val="1D224F06"/>
    <w:rsid w:val="1D350989"/>
    <w:rsid w:val="1D3A1AFC"/>
    <w:rsid w:val="1D473B0F"/>
    <w:rsid w:val="1D567A2F"/>
    <w:rsid w:val="1D594678"/>
    <w:rsid w:val="1D5F77B4"/>
    <w:rsid w:val="1D6D0123"/>
    <w:rsid w:val="1D74500E"/>
    <w:rsid w:val="1D7C2114"/>
    <w:rsid w:val="1D860C6F"/>
    <w:rsid w:val="1D884BDD"/>
    <w:rsid w:val="1D893DF7"/>
    <w:rsid w:val="1D991F3E"/>
    <w:rsid w:val="1D9D1A60"/>
    <w:rsid w:val="1DA653E3"/>
    <w:rsid w:val="1DB23D88"/>
    <w:rsid w:val="1DC767A9"/>
    <w:rsid w:val="1DD66083"/>
    <w:rsid w:val="1DD67A76"/>
    <w:rsid w:val="1DDB32DF"/>
    <w:rsid w:val="1DE07B88"/>
    <w:rsid w:val="1DE71A2D"/>
    <w:rsid w:val="1DEA5065"/>
    <w:rsid w:val="1DFC3255"/>
    <w:rsid w:val="1E0B5246"/>
    <w:rsid w:val="1E0E109B"/>
    <w:rsid w:val="1E150A33"/>
    <w:rsid w:val="1E1B36DB"/>
    <w:rsid w:val="1E264941"/>
    <w:rsid w:val="1E3454F5"/>
    <w:rsid w:val="1E4A2212"/>
    <w:rsid w:val="1E505F69"/>
    <w:rsid w:val="1E636E30"/>
    <w:rsid w:val="1E696296"/>
    <w:rsid w:val="1E6B19C3"/>
    <w:rsid w:val="1E6C086A"/>
    <w:rsid w:val="1E7728DA"/>
    <w:rsid w:val="1E8470EA"/>
    <w:rsid w:val="1E886B1A"/>
    <w:rsid w:val="1E8C29CF"/>
    <w:rsid w:val="1EA26BD8"/>
    <w:rsid w:val="1EA31703"/>
    <w:rsid w:val="1EA71413"/>
    <w:rsid w:val="1EB34F18"/>
    <w:rsid w:val="1EB86D6B"/>
    <w:rsid w:val="1ECA6C91"/>
    <w:rsid w:val="1ECA6EAF"/>
    <w:rsid w:val="1EE17F54"/>
    <w:rsid w:val="1EE31C63"/>
    <w:rsid w:val="1EE8459E"/>
    <w:rsid w:val="1EEE40CF"/>
    <w:rsid w:val="1EF06916"/>
    <w:rsid w:val="1EFA0674"/>
    <w:rsid w:val="1EFA3E00"/>
    <w:rsid w:val="1F0214F7"/>
    <w:rsid w:val="1F0C172C"/>
    <w:rsid w:val="1F114B7A"/>
    <w:rsid w:val="1F243576"/>
    <w:rsid w:val="1F2E5690"/>
    <w:rsid w:val="1F2F61E7"/>
    <w:rsid w:val="1F3F164B"/>
    <w:rsid w:val="1F443106"/>
    <w:rsid w:val="1F49734D"/>
    <w:rsid w:val="1F4B39E8"/>
    <w:rsid w:val="1F546AF6"/>
    <w:rsid w:val="1F670BF5"/>
    <w:rsid w:val="1F784E52"/>
    <w:rsid w:val="1F7A08D5"/>
    <w:rsid w:val="1F853634"/>
    <w:rsid w:val="1F8C3BF6"/>
    <w:rsid w:val="1F923E71"/>
    <w:rsid w:val="1F941997"/>
    <w:rsid w:val="1F9C084C"/>
    <w:rsid w:val="1FA15E62"/>
    <w:rsid w:val="1FA47700"/>
    <w:rsid w:val="1FA535FA"/>
    <w:rsid w:val="1FA83694"/>
    <w:rsid w:val="1FAA11BB"/>
    <w:rsid w:val="1FB43DE7"/>
    <w:rsid w:val="1FBC3D21"/>
    <w:rsid w:val="1FC84609"/>
    <w:rsid w:val="1FD06BA8"/>
    <w:rsid w:val="1FDA6873"/>
    <w:rsid w:val="1FE655FE"/>
    <w:rsid w:val="1FF16DE9"/>
    <w:rsid w:val="1FF7742C"/>
    <w:rsid w:val="200D561F"/>
    <w:rsid w:val="20121817"/>
    <w:rsid w:val="20141E71"/>
    <w:rsid w:val="20174376"/>
    <w:rsid w:val="202820DF"/>
    <w:rsid w:val="202B1BD0"/>
    <w:rsid w:val="202E593D"/>
    <w:rsid w:val="20336652"/>
    <w:rsid w:val="20390790"/>
    <w:rsid w:val="20517888"/>
    <w:rsid w:val="20527A49"/>
    <w:rsid w:val="205E303E"/>
    <w:rsid w:val="20644FC6"/>
    <w:rsid w:val="20653161"/>
    <w:rsid w:val="20764172"/>
    <w:rsid w:val="208C6B12"/>
    <w:rsid w:val="209205DC"/>
    <w:rsid w:val="20B83463"/>
    <w:rsid w:val="20BD316F"/>
    <w:rsid w:val="20C25887"/>
    <w:rsid w:val="20D05021"/>
    <w:rsid w:val="20DD736E"/>
    <w:rsid w:val="20DE6727"/>
    <w:rsid w:val="20E976FD"/>
    <w:rsid w:val="20EA4A26"/>
    <w:rsid w:val="20F33380"/>
    <w:rsid w:val="20FF1092"/>
    <w:rsid w:val="210E7D76"/>
    <w:rsid w:val="21147266"/>
    <w:rsid w:val="211D1970"/>
    <w:rsid w:val="21274A8D"/>
    <w:rsid w:val="212B5917"/>
    <w:rsid w:val="212B632B"/>
    <w:rsid w:val="21675F5E"/>
    <w:rsid w:val="216B497A"/>
    <w:rsid w:val="216B6728"/>
    <w:rsid w:val="21723F5A"/>
    <w:rsid w:val="21881F7E"/>
    <w:rsid w:val="21893052"/>
    <w:rsid w:val="218D48F0"/>
    <w:rsid w:val="219739C1"/>
    <w:rsid w:val="21AB0BFE"/>
    <w:rsid w:val="21B300CF"/>
    <w:rsid w:val="21B55BF5"/>
    <w:rsid w:val="21B856E5"/>
    <w:rsid w:val="21BC3427"/>
    <w:rsid w:val="21BC795F"/>
    <w:rsid w:val="21CD73E2"/>
    <w:rsid w:val="21CF4F08"/>
    <w:rsid w:val="21D62AEB"/>
    <w:rsid w:val="21DA5735"/>
    <w:rsid w:val="21EA5DD8"/>
    <w:rsid w:val="21F076E1"/>
    <w:rsid w:val="21F169EC"/>
    <w:rsid w:val="21F76C58"/>
    <w:rsid w:val="220152DE"/>
    <w:rsid w:val="22056B7C"/>
    <w:rsid w:val="220869B6"/>
    <w:rsid w:val="22106A7C"/>
    <w:rsid w:val="221D182D"/>
    <w:rsid w:val="2240642E"/>
    <w:rsid w:val="22432FD4"/>
    <w:rsid w:val="224B26A4"/>
    <w:rsid w:val="224C47AB"/>
    <w:rsid w:val="225A426B"/>
    <w:rsid w:val="22613F20"/>
    <w:rsid w:val="226A3C14"/>
    <w:rsid w:val="227D4C9F"/>
    <w:rsid w:val="229B5FA1"/>
    <w:rsid w:val="22A04AF7"/>
    <w:rsid w:val="22A44CA5"/>
    <w:rsid w:val="22B80F93"/>
    <w:rsid w:val="22BB028C"/>
    <w:rsid w:val="22BD4BC3"/>
    <w:rsid w:val="22C75BE0"/>
    <w:rsid w:val="22C95DFC"/>
    <w:rsid w:val="22D3622C"/>
    <w:rsid w:val="22D447A0"/>
    <w:rsid w:val="22DE2D68"/>
    <w:rsid w:val="22FD3CF7"/>
    <w:rsid w:val="23056708"/>
    <w:rsid w:val="230F7587"/>
    <w:rsid w:val="231C27F4"/>
    <w:rsid w:val="231E7470"/>
    <w:rsid w:val="23213E8D"/>
    <w:rsid w:val="23241EA1"/>
    <w:rsid w:val="23250B58"/>
    <w:rsid w:val="23256DAA"/>
    <w:rsid w:val="232A43C0"/>
    <w:rsid w:val="232C638A"/>
    <w:rsid w:val="23311CBD"/>
    <w:rsid w:val="234731C4"/>
    <w:rsid w:val="234858E1"/>
    <w:rsid w:val="2358717F"/>
    <w:rsid w:val="23694EE9"/>
    <w:rsid w:val="23790901"/>
    <w:rsid w:val="238F5C88"/>
    <w:rsid w:val="2393640A"/>
    <w:rsid w:val="239D2DE4"/>
    <w:rsid w:val="23A14CF8"/>
    <w:rsid w:val="23B91008"/>
    <w:rsid w:val="23CC4744"/>
    <w:rsid w:val="23D609DA"/>
    <w:rsid w:val="23DA4684"/>
    <w:rsid w:val="23FB704A"/>
    <w:rsid w:val="23FE7D27"/>
    <w:rsid w:val="23FF584D"/>
    <w:rsid w:val="240370EB"/>
    <w:rsid w:val="24107A5A"/>
    <w:rsid w:val="241D458E"/>
    <w:rsid w:val="242467CA"/>
    <w:rsid w:val="24306110"/>
    <w:rsid w:val="243D1502"/>
    <w:rsid w:val="244871F4"/>
    <w:rsid w:val="24487A08"/>
    <w:rsid w:val="244D480A"/>
    <w:rsid w:val="245345D6"/>
    <w:rsid w:val="245636BF"/>
    <w:rsid w:val="246F29D3"/>
    <w:rsid w:val="24743FEC"/>
    <w:rsid w:val="24763D61"/>
    <w:rsid w:val="24771887"/>
    <w:rsid w:val="24805F8B"/>
    <w:rsid w:val="24835E3B"/>
    <w:rsid w:val="24864CD7"/>
    <w:rsid w:val="248E5E54"/>
    <w:rsid w:val="24905DE7"/>
    <w:rsid w:val="24A563F4"/>
    <w:rsid w:val="24AA7721"/>
    <w:rsid w:val="24B85FE4"/>
    <w:rsid w:val="24C068BD"/>
    <w:rsid w:val="24C61DD0"/>
    <w:rsid w:val="24D42AC1"/>
    <w:rsid w:val="24D52C27"/>
    <w:rsid w:val="24D6447F"/>
    <w:rsid w:val="24EE1B49"/>
    <w:rsid w:val="250273A3"/>
    <w:rsid w:val="2504136D"/>
    <w:rsid w:val="250B28E1"/>
    <w:rsid w:val="251B2213"/>
    <w:rsid w:val="251F05DB"/>
    <w:rsid w:val="25201F2D"/>
    <w:rsid w:val="252512E3"/>
    <w:rsid w:val="25292B82"/>
    <w:rsid w:val="252A68FA"/>
    <w:rsid w:val="25350ED0"/>
    <w:rsid w:val="253908EB"/>
    <w:rsid w:val="25397D1A"/>
    <w:rsid w:val="253B24B9"/>
    <w:rsid w:val="253D0289"/>
    <w:rsid w:val="253D228D"/>
    <w:rsid w:val="253D662D"/>
    <w:rsid w:val="254774AC"/>
    <w:rsid w:val="254A0D4A"/>
    <w:rsid w:val="25504EBA"/>
    <w:rsid w:val="25506360"/>
    <w:rsid w:val="25565941"/>
    <w:rsid w:val="255C0913"/>
    <w:rsid w:val="255F65A3"/>
    <w:rsid w:val="2567597A"/>
    <w:rsid w:val="25842EE2"/>
    <w:rsid w:val="25861D82"/>
    <w:rsid w:val="25A53AC6"/>
    <w:rsid w:val="25AF3525"/>
    <w:rsid w:val="25BD776E"/>
    <w:rsid w:val="25C1100C"/>
    <w:rsid w:val="25CB3167"/>
    <w:rsid w:val="25CE6675"/>
    <w:rsid w:val="25DA6DFA"/>
    <w:rsid w:val="25E14C7A"/>
    <w:rsid w:val="25F96D8D"/>
    <w:rsid w:val="26052839"/>
    <w:rsid w:val="2613247A"/>
    <w:rsid w:val="26351F9D"/>
    <w:rsid w:val="26355556"/>
    <w:rsid w:val="26471627"/>
    <w:rsid w:val="26487037"/>
    <w:rsid w:val="2658691B"/>
    <w:rsid w:val="265F1CA4"/>
    <w:rsid w:val="266D2F42"/>
    <w:rsid w:val="266F71F8"/>
    <w:rsid w:val="26724F0A"/>
    <w:rsid w:val="267B1C6F"/>
    <w:rsid w:val="267F64D1"/>
    <w:rsid w:val="268656D9"/>
    <w:rsid w:val="26866228"/>
    <w:rsid w:val="26957867"/>
    <w:rsid w:val="269B185D"/>
    <w:rsid w:val="269C3827"/>
    <w:rsid w:val="26BB3CAD"/>
    <w:rsid w:val="26BF1478"/>
    <w:rsid w:val="26CF59AB"/>
    <w:rsid w:val="26D00FBC"/>
    <w:rsid w:val="26D646C5"/>
    <w:rsid w:val="26D905D7"/>
    <w:rsid w:val="26DB426D"/>
    <w:rsid w:val="26DB4FDA"/>
    <w:rsid w:val="26E51798"/>
    <w:rsid w:val="26FB67A0"/>
    <w:rsid w:val="27035654"/>
    <w:rsid w:val="271679AE"/>
    <w:rsid w:val="27206206"/>
    <w:rsid w:val="272457F2"/>
    <w:rsid w:val="272C0707"/>
    <w:rsid w:val="27324837"/>
    <w:rsid w:val="27390274"/>
    <w:rsid w:val="273E1940"/>
    <w:rsid w:val="27441EF5"/>
    <w:rsid w:val="27561C28"/>
    <w:rsid w:val="276021F9"/>
    <w:rsid w:val="276205CD"/>
    <w:rsid w:val="27663E6F"/>
    <w:rsid w:val="276C31F9"/>
    <w:rsid w:val="276E37A0"/>
    <w:rsid w:val="27704878"/>
    <w:rsid w:val="277125BE"/>
    <w:rsid w:val="27826E0A"/>
    <w:rsid w:val="27930786"/>
    <w:rsid w:val="27990440"/>
    <w:rsid w:val="279F537D"/>
    <w:rsid w:val="27AA5464"/>
    <w:rsid w:val="27AD01DA"/>
    <w:rsid w:val="27CB18D8"/>
    <w:rsid w:val="27F751B9"/>
    <w:rsid w:val="27FE1C8A"/>
    <w:rsid w:val="27FE59FB"/>
    <w:rsid w:val="27FF6FE3"/>
    <w:rsid w:val="28013C34"/>
    <w:rsid w:val="280B3FF0"/>
    <w:rsid w:val="281C6EFA"/>
    <w:rsid w:val="28247630"/>
    <w:rsid w:val="28284160"/>
    <w:rsid w:val="2834422D"/>
    <w:rsid w:val="28485A15"/>
    <w:rsid w:val="28543910"/>
    <w:rsid w:val="285507FD"/>
    <w:rsid w:val="28631B9C"/>
    <w:rsid w:val="28683951"/>
    <w:rsid w:val="288130EC"/>
    <w:rsid w:val="288E0E9B"/>
    <w:rsid w:val="28940C5A"/>
    <w:rsid w:val="289F1006"/>
    <w:rsid w:val="28A32C4B"/>
    <w:rsid w:val="28AF1112"/>
    <w:rsid w:val="28B22E8E"/>
    <w:rsid w:val="28B5472C"/>
    <w:rsid w:val="28C32AA1"/>
    <w:rsid w:val="28C6759A"/>
    <w:rsid w:val="28CB3F50"/>
    <w:rsid w:val="28CB7113"/>
    <w:rsid w:val="28CE4FA0"/>
    <w:rsid w:val="28D27848"/>
    <w:rsid w:val="28DD263B"/>
    <w:rsid w:val="28E1075A"/>
    <w:rsid w:val="28E15521"/>
    <w:rsid w:val="28E84B02"/>
    <w:rsid w:val="28EC7945"/>
    <w:rsid w:val="28FC3AEB"/>
    <w:rsid w:val="2902459D"/>
    <w:rsid w:val="290F5406"/>
    <w:rsid w:val="29133779"/>
    <w:rsid w:val="291F1C70"/>
    <w:rsid w:val="29323FCF"/>
    <w:rsid w:val="29387837"/>
    <w:rsid w:val="2940049A"/>
    <w:rsid w:val="29462756"/>
    <w:rsid w:val="294A3E4E"/>
    <w:rsid w:val="295B1778"/>
    <w:rsid w:val="29600B3C"/>
    <w:rsid w:val="29656152"/>
    <w:rsid w:val="2974498E"/>
    <w:rsid w:val="29753FA3"/>
    <w:rsid w:val="297B3BC8"/>
    <w:rsid w:val="297B5976"/>
    <w:rsid w:val="297E2551"/>
    <w:rsid w:val="29824F56"/>
    <w:rsid w:val="299A22A0"/>
    <w:rsid w:val="299D31C0"/>
    <w:rsid w:val="29A44ECD"/>
    <w:rsid w:val="29A77E13"/>
    <w:rsid w:val="29A8575D"/>
    <w:rsid w:val="29B1567A"/>
    <w:rsid w:val="29B733F6"/>
    <w:rsid w:val="29B74108"/>
    <w:rsid w:val="29BA5BEE"/>
    <w:rsid w:val="29BD24A2"/>
    <w:rsid w:val="29C01785"/>
    <w:rsid w:val="29C448AF"/>
    <w:rsid w:val="29D85D2E"/>
    <w:rsid w:val="29E7300B"/>
    <w:rsid w:val="29FF6D9B"/>
    <w:rsid w:val="2A135BAE"/>
    <w:rsid w:val="2A147269"/>
    <w:rsid w:val="2A1F4553"/>
    <w:rsid w:val="2A202079"/>
    <w:rsid w:val="2A2038A1"/>
    <w:rsid w:val="2A2B1576"/>
    <w:rsid w:val="2A2C46A4"/>
    <w:rsid w:val="2A2F49A8"/>
    <w:rsid w:val="2A353D77"/>
    <w:rsid w:val="2A493BBE"/>
    <w:rsid w:val="2A497822"/>
    <w:rsid w:val="2A503127"/>
    <w:rsid w:val="2A537017"/>
    <w:rsid w:val="2A7228D5"/>
    <w:rsid w:val="2A952A67"/>
    <w:rsid w:val="2A9863D3"/>
    <w:rsid w:val="2A99523B"/>
    <w:rsid w:val="2A9E7599"/>
    <w:rsid w:val="2AA415D3"/>
    <w:rsid w:val="2AA7677F"/>
    <w:rsid w:val="2AB2780B"/>
    <w:rsid w:val="2ABA26B8"/>
    <w:rsid w:val="2AC450FA"/>
    <w:rsid w:val="2AC46EA9"/>
    <w:rsid w:val="2ACF1C5D"/>
    <w:rsid w:val="2ADB2B70"/>
    <w:rsid w:val="2ADB7D7A"/>
    <w:rsid w:val="2ADF3CE2"/>
    <w:rsid w:val="2ADF3F67"/>
    <w:rsid w:val="2AEC6B2B"/>
    <w:rsid w:val="2AEF1948"/>
    <w:rsid w:val="2AF40319"/>
    <w:rsid w:val="2B0F4FC5"/>
    <w:rsid w:val="2B155185"/>
    <w:rsid w:val="2B326508"/>
    <w:rsid w:val="2B58197D"/>
    <w:rsid w:val="2B604E23"/>
    <w:rsid w:val="2B8F5708"/>
    <w:rsid w:val="2BB4516F"/>
    <w:rsid w:val="2BCC4267"/>
    <w:rsid w:val="2BE02651"/>
    <w:rsid w:val="2BF1433B"/>
    <w:rsid w:val="2BF51A0F"/>
    <w:rsid w:val="2C077995"/>
    <w:rsid w:val="2C0B1233"/>
    <w:rsid w:val="2C0C1256"/>
    <w:rsid w:val="2C161986"/>
    <w:rsid w:val="2C29679B"/>
    <w:rsid w:val="2C2A5978"/>
    <w:rsid w:val="2C31056E"/>
    <w:rsid w:val="2C332538"/>
    <w:rsid w:val="2C381E79"/>
    <w:rsid w:val="2C3A5674"/>
    <w:rsid w:val="2C444745"/>
    <w:rsid w:val="2C453C96"/>
    <w:rsid w:val="2C511FF4"/>
    <w:rsid w:val="2C532BDA"/>
    <w:rsid w:val="2C690496"/>
    <w:rsid w:val="2C770676"/>
    <w:rsid w:val="2C771D6E"/>
    <w:rsid w:val="2C7D1A05"/>
    <w:rsid w:val="2C7E3ECE"/>
    <w:rsid w:val="2C8132A3"/>
    <w:rsid w:val="2C8277A3"/>
    <w:rsid w:val="2C9C00DD"/>
    <w:rsid w:val="2CA376BD"/>
    <w:rsid w:val="2CA40325"/>
    <w:rsid w:val="2CBD2A93"/>
    <w:rsid w:val="2CD71115"/>
    <w:rsid w:val="2CDB08FB"/>
    <w:rsid w:val="2CE56BC8"/>
    <w:rsid w:val="2CF06A23"/>
    <w:rsid w:val="2D065830"/>
    <w:rsid w:val="2D104627"/>
    <w:rsid w:val="2D14258E"/>
    <w:rsid w:val="2D171994"/>
    <w:rsid w:val="2D241E80"/>
    <w:rsid w:val="2D2E004F"/>
    <w:rsid w:val="2D370E79"/>
    <w:rsid w:val="2D3B1D0D"/>
    <w:rsid w:val="2D40315E"/>
    <w:rsid w:val="2D5C4689"/>
    <w:rsid w:val="2D744BB6"/>
    <w:rsid w:val="2D76092E"/>
    <w:rsid w:val="2D7A2E98"/>
    <w:rsid w:val="2D880979"/>
    <w:rsid w:val="2D92328E"/>
    <w:rsid w:val="2D954F24"/>
    <w:rsid w:val="2D990AC0"/>
    <w:rsid w:val="2DCC054E"/>
    <w:rsid w:val="2DD51C8A"/>
    <w:rsid w:val="2DDB065C"/>
    <w:rsid w:val="2DDB27CB"/>
    <w:rsid w:val="2DDD2785"/>
    <w:rsid w:val="2DEA0876"/>
    <w:rsid w:val="2DFB317C"/>
    <w:rsid w:val="2E02213E"/>
    <w:rsid w:val="2E156F36"/>
    <w:rsid w:val="2E162111"/>
    <w:rsid w:val="2E290EE4"/>
    <w:rsid w:val="2E2959A0"/>
    <w:rsid w:val="2E383E35"/>
    <w:rsid w:val="2E4630EF"/>
    <w:rsid w:val="2E4647A4"/>
    <w:rsid w:val="2E5073D1"/>
    <w:rsid w:val="2E536EC1"/>
    <w:rsid w:val="2E5922BE"/>
    <w:rsid w:val="2E5C5D76"/>
    <w:rsid w:val="2E5C6907"/>
    <w:rsid w:val="2E7D70CB"/>
    <w:rsid w:val="2E9C199B"/>
    <w:rsid w:val="2EA350C6"/>
    <w:rsid w:val="2EBD433B"/>
    <w:rsid w:val="2ECB6B32"/>
    <w:rsid w:val="2ED05CDE"/>
    <w:rsid w:val="2EDE2C2F"/>
    <w:rsid w:val="2EE47B19"/>
    <w:rsid w:val="2EEB70FA"/>
    <w:rsid w:val="2EF04710"/>
    <w:rsid w:val="2EF064BE"/>
    <w:rsid w:val="2EF35FAE"/>
    <w:rsid w:val="2EFE110B"/>
    <w:rsid w:val="2EFF6701"/>
    <w:rsid w:val="2F0116F1"/>
    <w:rsid w:val="2F013C21"/>
    <w:rsid w:val="2F035B69"/>
    <w:rsid w:val="2F1D243A"/>
    <w:rsid w:val="2F2D14C0"/>
    <w:rsid w:val="2F2F41AE"/>
    <w:rsid w:val="2F2F5238"/>
    <w:rsid w:val="2F316EF3"/>
    <w:rsid w:val="2F3B5956"/>
    <w:rsid w:val="2F436F36"/>
    <w:rsid w:val="2F4D56BE"/>
    <w:rsid w:val="2F57478F"/>
    <w:rsid w:val="2F5A77EF"/>
    <w:rsid w:val="2F5C3B54"/>
    <w:rsid w:val="2F6517C3"/>
    <w:rsid w:val="2F736F4A"/>
    <w:rsid w:val="2F7610B9"/>
    <w:rsid w:val="2FA30AC3"/>
    <w:rsid w:val="2FB270B8"/>
    <w:rsid w:val="2FB76FDC"/>
    <w:rsid w:val="2FCE2CA3"/>
    <w:rsid w:val="2FDA6B1F"/>
    <w:rsid w:val="2FE37DD1"/>
    <w:rsid w:val="2FEA7D5E"/>
    <w:rsid w:val="2FF53476"/>
    <w:rsid w:val="2FFE4C0B"/>
    <w:rsid w:val="30013CC1"/>
    <w:rsid w:val="30032221"/>
    <w:rsid w:val="300761B5"/>
    <w:rsid w:val="301950F9"/>
    <w:rsid w:val="302C5C1C"/>
    <w:rsid w:val="30442F65"/>
    <w:rsid w:val="30451BBC"/>
    <w:rsid w:val="30474804"/>
    <w:rsid w:val="304923CA"/>
    <w:rsid w:val="304940D8"/>
    <w:rsid w:val="30570AC2"/>
    <w:rsid w:val="30631264"/>
    <w:rsid w:val="3069477A"/>
    <w:rsid w:val="306B283F"/>
    <w:rsid w:val="30775B89"/>
    <w:rsid w:val="30AB577E"/>
    <w:rsid w:val="30AE2FF6"/>
    <w:rsid w:val="30B36B3A"/>
    <w:rsid w:val="30C94365"/>
    <w:rsid w:val="30DC3D95"/>
    <w:rsid w:val="30EF0E8C"/>
    <w:rsid w:val="30F0668B"/>
    <w:rsid w:val="30F75985"/>
    <w:rsid w:val="31001087"/>
    <w:rsid w:val="31012C04"/>
    <w:rsid w:val="31043CA0"/>
    <w:rsid w:val="3108070F"/>
    <w:rsid w:val="310D3165"/>
    <w:rsid w:val="311B2BA9"/>
    <w:rsid w:val="311B7A32"/>
    <w:rsid w:val="311C359A"/>
    <w:rsid w:val="31243FAD"/>
    <w:rsid w:val="312A215B"/>
    <w:rsid w:val="312E1520"/>
    <w:rsid w:val="31374878"/>
    <w:rsid w:val="3138414C"/>
    <w:rsid w:val="31462D0D"/>
    <w:rsid w:val="31625612"/>
    <w:rsid w:val="31812082"/>
    <w:rsid w:val="319475D5"/>
    <w:rsid w:val="319F5D2B"/>
    <w:rsid w:val="31A67308"/>
    <w:rsid w:val="31A85121"/>
    <w:rsid w:val="31B5579D"/>
    <w:rsid w:val="31C95661"/>
    <w:rsid w:val="31CA56EC"/>
    <w:rsid w:val="31D82885"/>
    <w:rsid w:val="31DA4629"/>
    <w:rsid w:val="31E610D6"/>
    <w:rsid w:val="31EF0CAF"/>
    <w:rsid w:val="31F12C79"/>
    <w:rsid w:val="31F2079F"/>
    <w:rsid w:val="31FB713A"/>
    <w:rsid w:val="31FC517A"/>
    <w:rsid w:val="3200110E"/>
    <w:rsid w:val="32016C06"/>
    <w:rsid w:val="32056724"/>
    <w:rsid w:val="32075108"/>
    <w:rsid w:val="32252923"/>
    <w:rsid w:val="32292413"/>
    <w:rsid w:val="322C6B01"/>
    <w:rsid w:val="32366140"/>
    <w:rsid w:val="323E5792"/>
    <w:rsid w:val="32592364"/>
    <w:rsid w:val="32601BAD"/>
    <w:rsid w:val="32607DFF"/>
    <w:rsid w:val="3264169D"/>
    <w:rsid w:val="326C21F0"/>
    <w:rsid w:val="3276317E"/>
    <w:rsid w:val="327B0795"/>
    <w:rsid w:val="328D3EE9"/>
    <w:rsid w:val="328F4699"/>
    <w:rsid w:val="32935702"/>
    <w:rsid w:val="32987598"/>
    <w:rsid w:val="32A509BB"/>
    <w:rsid w:val="32BF0EDD"/>
    <w:rsid w:val="32C4213C"/>
    <w:rsid w:val="32CC3B66"/>
    <w:rsid w:val="32CE2FBA"/>
    <w:rsid w:val="32D14858"/>
    <w:rsid w:val="32F522F5"/>
    <w:rsid w:val="32F563F4"/>
    <w:rsid w:val="32FA5B5D"/>
    <w:rsid w:val="3301622E"/>
    <w:rsid w:val="33064502"/>
    <w:rsid w:val="3307027A"/>
    <w:rsid w:val="330813AC"/>
    <w:rsid w:val="33136C1F"/>
    <w:rsid w:val="33197425"/>
    <w:rsid w:val="33490893"/>
    <w:rsid w:val="334D1215"/>
    <w:rsid w:val="33613E2E"/>
    <w:rsid w:val="33727DEA"/>
    <w:rsid w:val="33751688"/>
    <w:rsid w:val="339257C8"/>
    <w:rsid w:val="33B05B99"/>
    <w:rsid w:val="33B54F5B"/>
    <w:rsid w:val="33BB5540"/>
    <w:rsid w:val="33C10429"/>
    <w:rsid w:val="33CF2B46"/>
    <w:rsid w:val="33D66175"/>
    <w:rsid w:val="33DF23F2"/>
    <w:rsid w:val="33E87939"/>
    <w:rsid w:val="341E7629"/>
    <w:rsid w:val="34342C2C"/>
    <w:rsid w:val="34386061"/>
    <w:rsid w:val="343D21A6"/>
    <w:rsid w:val="34607C42"/>
    <w:rsid w:val="34684A0D"/>
    <w:rsid w:val="34711F31"/>
    <w:rsid w:val="3479104D"/>
    <w:rsid w:val="3491604D"/>
    <w:rsid w:val="34964F8E"/>
    <w:rsid w:val="3496754B"/>
    <w:rsid w:val="34A73AC3"/>
    <w:rsid w:val="34B01925"/>
    <w:rsid w:val="34B5217A"/>
    <w:rsid w:val="34BB131C"/>
    <w:rsid w:val="34C15096"/>
    <w:rsid w:val="34C208FD"/>
    <w:rsid w:val="34C51D78"/>
    <w:rsid w:val="34D41A76"/>
    <w:rsid w:val="34DA28BD"/>
    <w:rsid w:val="34DB376C"/>
    <w:rsid w:val="34EB1C02"/>
    <w:rsid w:val="34EE16F2"/>
    <w:rsid w:val="34F12952"/>
    <w:rsid w:val="35025FCF"/>
    <w:rsid w:val="350B1DC3"/>
    <w:rsid w:val="351333BE"/>
    <w:rsid w:val="3518676F"/>
    <w:rsid w:val="351C2382"/>
    <w:rsid w:val="353A4937"/>
    <w:rsid w:val="35487054"/>
    <w:rsid w:val="354B05E0"/>
    <w:rsid w:val="355C12DE"/>
    <w:rsid w:val="355F7EFA"/>
    <w:rsid w:val="35613C72"/>
    <w:rsid w:val="3563244F"/>
    <w:rsid w:val="356527EF"/>
    <w:rsid w:val="357532E4"/>
    <w:rsid w:val="35753BC1"/>
    <w:rsid w:val="359027A9"/>
    <w:rsid w:val="35A3072E"/>
    <w:rsid w:val="35A76B10"/>
    <w:rsid w:val="35AE1209"/>
    <w:rsid w:val="35B20971"/>
    <w:rsid w:val="35C278B3"/>
    <w:rsid w:val="35C77203"/>
    <w:rsid w:val="35D16AE6"/>
    <w:rsid w:val="35D72AD1"/>
    <w:rsid w:val="35E46651"/>
    <w:rsid w:val="35E93C67"/>
    <w:rsid w:val="35FB58C9"/>
    <w:rsid w:val="36010856"/>
    <w:rsid w:val="36140EBC"/>
    <w:rsid w:val="36215F59"/>
    <w:rsid w:val="362D05B8"/>
    <w:rsid w:val="363629EF"/>
    <w:rsid w:val="3639699D"/>
    <w:rsid w:val="363B0967"/>
    <w:rsid w:val="365D444A"/>
    <w:rsid w:val="366F0610"/>
    <w:rsid w:val="36706EDA"/>
    <w:rsid w:val="367B6FB5"/>
    <w:rsid w:val="36823FFB"/>
    <w:rsid w:val="36841031"/>
    <w:rsid w:val="368F480F"/>
    <w:rsid w:val="36914A2B"/>
    <w:rsid w:val="36954B86"/>
    <w:rsid w:val="36957440"/>
    <w:rsid w:val="36957B0E"/>
    <w:rsid w:val="36A27736"/>
    <w:rsid w:val="36B5066C"/>
    <w:rsid w:val="36BB1AA7"/>
    <w:rsid w:val="36C97CBE"/>
    <w:rsid w:val="36CE2CCF"/>
    <w:rsid w:val="36D003C7"/>
    <w:rsid w:val="36F11025"/>
    <w:rsid w:val="370178A6"/>
    <w:rsid w:val="37026511"/>
    <w:rsid w:val="371D006C"/>
    <w:rsid w:val="371D1E1A"/>
    <w:rsid w:val="371D5E6B"/>
    <w:rsid w:val="372E04CB"/>
    <w:rsid w:val="374E6478"/>
    <w:rsid w:val="374F07A2"/>
    <w:rsid w:val="375546D0"/>
    <w:rsid w:val="375909AC"/>
    <w:rsid w:val="3762626B"/>
    <w:rsid w:val="376D2A25"/>
    <w:rsid w:val="37751C56"/>
    <w:rsid w:val="3779106C"/>
    <w:rsid w:val="3780579E"/>
    <w:rsid w:val="379E634E"/>
    <w:rsid w:val="37A86C53"/>
    <w:rsid w:val="37AD2E24"/>
    <w:rsid w:val="37B05FEC"/>
    <w:rsid w:val="37B73A7E"/>
    <w:rsid w:val="37C17498"/>
    <w:rsid w:val="37C60704"/>
    <w:rsid w:val="37D85EC2"/>
    <w:rsid w:val="37DE3C9F"/>
    <w:rsid w:val="37EE2CAF"/>
    <w:rsid w:val="37EF0ACD"/>
    <w:rsid w:val="37F214F9"/>
    <w:rsid w:val="37F65E30"/>
    <w:rsid w:val="37F66F6A"/>
    <w:rsid w:val="37FB65FF"/>
    <w:rsid w:val="38060B00"/>
    <w:rsid w:val="3806412E"/>
    <w:rsid w:val="38136DF0"/>
    <w:rsid w:val="381C69BD"/>
    <w:rsid w:val="3822621E"/>
    <w:rsid w:val="3825589D"/>
    <w:rsid w:val="382D0783"/>
    <w:rsid w:val="38321BD3"/>
    <w:rsid w:val="38325D99"/>
    <w:rsid w:val="383731AD"/>
    <w:rsid w:val="38392C84"/>
    <w:rsid w:val="383D1463"/>
    <w:rsid w:val="384B05C1"/>
    <w:rsid w:val="38511599"/>
    <w:rsid w:val="38593326"/>
    <w:rsid w:val="38602906"/>
    <w:rsid w:val="3866119D"/>
    <w:rsid w:val="388C36FB"/>
    <w:rsid w:val="38984C96"/>
    <w:rsid w:val="389C497F"/>
    <w:rsid w:val="389E1CF2"/>
    <w:rsid w:val="38A6226A"/>
    <w:rsid w:val="38B8629F"/>
    <w:rsid w:val="38CD30C2"/>
    <w:rsid w:val="38CF5396"/>
    <w:rsid w:val="38DC1CAE"/>
    <w:rsid w:val="38E64352"/>
    <w:rsid w:val="38EC419A"/>
    <w:rsid w:val="38ED3A6E"/>
    <w:rsid w:val="390C261A"/>
    <w:rsid w:val="39217E6B"/>
    <w:rsid w:val="39287864"/>
    <w:rsid w:val="39420AD9"/>
    <w:rsid w:val="394E6C03"/>
    <w:rsid w:val="396177B0"/>
    <w:rsid w:val="39665F8E"/>
    <w:rsid w:val="396B12CF"/>
    <w:rsid w:val="3979197F"/>
    <w:rsid w:val="397A2DEC"/>
    <w:rsid w:val="397A6F78"/>
    <w:rsid w:val="39882B79"/>
    <w:rsid w:val="398F0341"/>
    <w:rsid w:val="398F2122"/>
    <w:rsid w:val="399C23D4"/>
    <w:rsid w:val="39AD543B"/>
    <w:rsid w:val="39B71D1E"/>
    <w:rsid w:val="39B747A8"/>
    <w:rsid w:val="39B77EFC"/>
    <w:rsid w:val="39BD78E5"/>
    <w:rsid w:val="39BF365D"/>
    <w:rsid w:val="39D23390"/>
    <w:rsid w:val="39D54C2E"/>
    <w:rsid w:val="39E3559D"/>
    <w:rsid w:val="39E838F8"/>
    <w:rsid w:val="39E96772"/>
    <w:rsid w:val="39F252A2"/>
    <w:rsid w:val="39FF5F80"/>
    <w:rsid w:val="3A1127CD"/>
    <w:rsid w:val="3A246826"/>
    <w:rsid w:val="3A2B0CF2"/>
    <w:rsid w:val="3A360662"/>
    <w:rsid w:val="3A394275"/>
    <w:rsid w:val="3A3E6C77"/>
    <w:rsid w:val="3A42339F"/>
    <w:rsid w:val="3A43603C"/>
    <w:rsid w:val="3A46329D"/>
    <w:rsid w:val="3A4D2E82"/>
    <w:rsid w:val="3A500759"/>
    <w:rsid w:val="3A63223A"/>
    <w:rsid w:val="3A7601BF"/>
    <w:rsid w:val="3A793DA1"/>
    <w:rsid w:val="3A8324AD"/>
    <w:rsid w:val="3A970136"/>
    <w:rsid w:val="3AA50AA5"/>
    <w:rsid w:val="3AAD7959"/>
    <w:rsid w:val="3AB07408"/>
    <w:rsid w:val="3AB129D7"/>
    <w:rsid w:val="3AC70A1B"/>
    <w:rsid w:val="3AC9659D"/>
    <w:rsid w:val="3AD76784"/>
    <w:rsid w:val="3AD81A4C"/>
    <w:rsid w:val="3ADD2E87"/>
    <w:rsid w:val="3ADE3FB6"/>
    <w:rsid w:val="3AE040A4"/>
    <w:rsid w:val="3AF41A4D"/>
    <w:rsid w:val="3AFA0A6E"/>
    <w:rsid w:val="3B0025AB"/>
    <w:rsid w:val="3B05373E"/>
    <w:rsid w:val="3B054287"/>
    <w:rsid w:val="3B0C28D2"/>
    <w:rsid w:val="3B0E36DA"/>
    <w:rsid w:val="3B194FEF"/>
    <w:rsid w:val="3B2C407E"/>
    <w:rsid w:val="3B2E0A9A"/>
    <w:rsid w:val="3B381322"/>
    <w:rsid w:val="3B437223"/>
    <w:rsid w:val="3B483EC7"/>
    <w:rsid w:val="3B494C2A"/>
    <w:rsid w:val="3B585B17"/>
    <w:rsid w:val="3B675D5A"/>
    <w:rsid w:val="3B713E68"/>
    <w:rsid w:val="3B8E0680"/>
    <w:rsid w:val="3B984165"/>
    <w:rsid w:val="3B9A6F31"/>
    <w:rsid w:val="3B9A7736"/>
    <w:rsid w:val="3BAA7334"/>
    <w:rsid w:val="3BAB3E99"/>
    <w:rsid w:val="3BBD3BCC"/>
    <w:rsid w:val="3BCB2815"/>
    <w:rsid w:val="3BCB60EB"/>
    <w:rsid w:val="3BD553B9"/>
    <w:rsid w:val="3BDE5E45"/>
    <w:rsid w:val="3BDF30D1"/>
    <w:rsid w:val="3BDF3B42"/>
    <w:rsid w:val="3BE15B0C"/>
    <w:rsid w:val="3BF375EE"/>
    <w:rsid w:val="3BF43C71"/>
    <w:rsid w:val="3BF515B8"/>
    <w:rsid w:val="3C095063"/>
    <w:rsid w:val="3C0A47E2"/>
    <w:rsid w:val="3C110935"/>
    <w:rsid w:val="3C153A08"/>
    <w:rsid w:val="3C1E0B0E"/>
    <w:rsid w:val="3C241E9D"/>
    <w:rsid w:val="3C265C15"/>
    <w:rsid w:val="3C3C2D43"/>
    <w:rsid w:val="3C410359"/>
    <w:rsid w:val="3C41617D"/>
    <w:rsid w:val="3C540855"/>
    <w:rsid w:val="3C5B2272"/>
    <w:rsid w:val="3C5B4D25"/>
    <w:rsid w:val="3C5C5193"/>
    <w:rsid w:val="3C605793"/>
    <w:rsid w:val="3C6803EB"/>
    <w:rsid w:val="3C6A5B02"/>
    <w:rsid w:val="3C7C688A"/>
    <w:rsid w:val="3CA408E8"/>
    <w:rsid w:val="3CB1029C"/>
    <w:rsid w:val="3CB11983"/>
    <w:rsid w:val="3CB53BFE"/>
    <w:rsid w:val="3CCB40C7"/>
    <w:rsid w:val="3CCF578C"/>
    <w:rsid w:val="3CE33B06"/>
    <w:rsid w:val="3CE52711"/>
    <w:rsid w:val="3CF75DFC"/>
    <w:rsid w:val="3CFF43DE"/>
    <w:rsid w:val="3D000214"/>
    <w:rsid w:val="3D073351"/>
    <w:rsid w:val="3D0B7719"/>
    <w:rsid w:val="3D136199"/>
    <w:rsid w:val="3D211F38"/>
    <w:rsid w:val="3D302759"/>
    <w:rsid w:val="3D393726"/>
    <w:rsid w:val="3D3D0E5A"/>
    <w:rsid w:val="3D557E03"/>
    <w:rsid w:val="3D6675E2"/>
    <w:rsid w:val="3D6802F9"/>
    <w:rsid w:val="3D685E7C"/>
    <w:rsid w:val="3D6E2C59"/>
    <w:rsid w:val="3D790984"/>
    <w:rsid w:val="3D943D3A"/>
    <w:rsid w:val="3DA72764"/>
    <w:rsid w:val="3DA73FED"/>
    <w:rsid w:val="3DBA4867"/>
    <w:rsid w:val="3DC15167"/>
    <w:rsid w:val="3DC2196D"/>
    <w:rsid w:val="3DC34CD5"/>
    <w:rsid w:val="3DCC459A"/>
    <w:rsid w:val="3DD476B4"/>
    <w:rsid w:val="3DD75419"/>
    <w:rsid w:val="3DDC2A2F"/>
    <w:rsid w:val="3DE6740A"/>
    <w:rsid w:val="3DE74F30"/>
    <w:rsid w:val="3DEA59D2"/>
    <w:rsid w:val="3DF42E38"/>
    <w:rsid w:val="3DFA4C63"/>
    <w:rsid w:val="3DFB1968"/>
    <w:rsid w:val="3E001EA9"/>
    <w:rsid w:val="3E0155AD"/>
    <w:rsid w:val="3E1F6C4B"/>
    <w:rsid w:val="3E2C65BF"/>
    <w:rsid w:val="3E3715E6"/>
    <w:rsid w:val="3E377C66"/>
    <w:rsid w:val="3E5A5506"/>
    <w:rsid w:val="3E652E9C"/>
    <w:rsid w:val="3E66679D"/>
    <w:rsid w:val="3E726EF0"/>
    <w:rsid w:val="3E7436CD"/>
    <w:rsid w:val="3E7517F2"/>
    <w:rsid w:val="3E962D9D"/>
    <w:rsid w:val="3E9C21BE"/>
    <w:rsid w:val="3E9C6EB8"/>
    <w:rsid w:val="3EA370A9"/>
    <w:rsid w:val="3EAF25C2"/>
    <w:rsid w:val="3EB219E2"/>
    <w:rsid w:val="3EB52AFC"/>
    <w:rsid w:val="3EB63280"/>
    <w:rsid w:val="3EC139D3"/>
    <w:rsid w:val="3EC20828"/>
    <w:rsid w:val="3ECC2AA4"/>
    <w:rsid w:val="3ED87460"/>
    <w:rsid w:val="3EE14075"/>
    <w:rsid w:val="3EE34F62"/>
    <w:rsid w:val="3EE93C03"/>
    <w:rsid w:val="3EF4789C"/>
    <w:rsid w:val="3EF94F1B"/>
    <w:rsid w:val="3F0538C0"/>
    <w:rsid w:val="3F062A53"/>
    <w:rsid w:val="3F0A537A"/>
    <w:rsid w:val="3F0A67A9"/>
    <w:rsid w:val="3F0B4C4E"/>
    <w:rsid w:val="3F1907ED"/>
    <w:rsid w:val="3F1C50AD"/>
    <w:rsid w:val="3F283D0B"/>
    <w:rsid w:val="3F312907"/>
    <w:rsid w:val="3F3D32DC"/>
    <w:rsid w:val="3F4C5993"/>
    <w:rsid w:val="3F4F7231"/>
    <w:rsid w:val="3F550AB2"/>
    <w:rsid w:val="3F5B377D"/>
    <w:rsid w:val="3F6D7DF3"/>
    <w:rsid w:val="3F6F342F"/>
    <w:rsid w:val="3F7D78FA"/>
    <w:rsid w:val="3F9904AC"/>
    <w:rsid w:val="3F9A625B"/>
    <w:rsid w:val="3FA4757D"/>
    <w:rsid w:val="3FB32B32"/>
    <w:rsid w:val="3FB84DD6"/>
    <w:rsid w:val="3FDB0AC5"/>
    <w:rsid w:val="3FDB52CF"/>
    <w:rsid w:val="3FF40A03"/>
    <w:rsid w:val="3FF63EE3"/>
    <w:rsid w:val="3FFB4CC3"/>
    <w:rsid w:val="400224F5"/>
    <w:rsid w:val="40061FE5"/>
    <w:rsid w:val="40104C12"/>
    <w:rsid w:val="40147B4C"/>
    <w:rsid w:val="40153FD6"/>
    <w:rsid w:val="40156940"/>
    <w:rsid w:val="401A339B"/>
    <w:rsid w:val="401B4E4B"/>
    <w:rsid w:val="40251D40"/>
    <w:rsid w:val="402661E4"/>
    <w:rsid w:val="40322DDA"/>
    <w:rsid w:val="40354679"/>
    <w:rsid w:val="403A1C8F"/>
    <w:rsid w:val="403C5A07"/>
    <w:rsid w:val="40414DCB"/>
    <w:rsid w:val="404E573A"/>
    <w:rsid w:val="40534AFF"/>
    <w:rsid w:val="405A7C3B"/>
    <w:rsid w:val="405F2DDF"/>
    <w:rsid w:val="4061721C"/>
    <w:rsid w:val="406E36E7"/>
    <w:rsid w:val="40754A75"/>
    <w:rsid w:val="408B4867"/>
    <w:rsid w:val="40907B01"/>
    <w:rsid w:val="40961942"/>
    <w:rsid w:val="409A035E"/>
    <w:rsid w:val="409A44DC"/>
    <w:rsid w:val="40AC5344"/>
    <w:rsid w:val="40AE7F87"/>
    <w:rsid w:val="40B02662"/>
    <w:rsid w:val="40C33A32"/>
    <w:rsid w:val="40C63523"/>
    <w:rsid w:val="40DF3FA9"/>
    <w:rsid w:val="40DF5D28"/>
    <w:rsid w:val="40E13184"/>
    <w:rsid w:val="40E35E83"/>
    <w:rsid w:val="40F938F8"/>
    <w:rsid w:val="40F956A6"/>
    <w:rsid w:val="410B5BA8"/>
    <w:rsid w:val="41110C42"/>
    <w:rsid w:val="41173D7E"/>
    <w:rsid w:val="4126715F"/>
    <w:rsid w:val="412D25B6"/>
    <w:rsid w:val="414A326C"/>
    <w:rsid w:val="414D77A0"/>
    <w:rsid w:val="414E603F"/>
    <w:rsid w:val="414F3518"/>
    <w:rsid w:val="4150713F"/>
    <w:rsid w:val="416777AB"/>
    <w:rsid w:val="416829D0"/>
    <w:rsid w:val="416D1BF0"/>
    <w:rsid w:val="416D6BC8"/>
    <w:rsid w:val="416F4571"/>
    <w:rsid w:val="41735459"/>
    <w:rsid w:val="417B7512"/>
    <w:rsid w:val="417C4F1D"/>
    <w:rsid w:val="41840AA3"/>
    <w:rsid w:val="418C651A"/>
    <w:rsid w:val="41922BCC"/>
    <w:rsid w:val="41AE46E3"/>
    <w:rsid w:val="41C31810"/>
    <w:rsid w:val="41C55588"/>
    <w:rsid w:val="41D2487F"/>
    <w:rsid w:val="42055B33"/>
    <w:rsid w:val="421A0B83"/>
    <w:rsid w:val="421F738E"/>
    <w:rsid w:val="422C7FBC"/>
    <w:rsid w:val="42332E3A"/>
    <w:rsid w:val="423D5A66"/>
    <w:rsid w:val="426260DC"/>
    <w:rsid w:val="4267663F"/>
    <w:rsid w:val="427A0BED"/>
    <w:rsid w:val="42822C6D"/>
    <w:rsid w:val="4283791D"/>
    <w:rsid w:val="428B7458"/>
    <w:rsid w:val="42957651"/>
    <w:rsid w:val="42A31D6D"/>
    <w:rsid w:val="42AE39F5"/>
    <w:rsid w:val="42B85710"/>
    <w:rsid w:val="42C4328B"/>
    <w:rsid w:val="42C6780A"/>
    <w:rsid w:val="42D31F27"/>
    <w:rsid w:val="42D4017C"/>
    <w:rsid w:val="42D53EF1"/>
    <w:rsid w:val="42D62B6D"/>
    <w:rsid w:val="42E13A0E"/>
    <w:rsid w:val="42E266D7"/>
    <w:rsid w:val="42F84106"/>
    <w:rsid w:val="43006D78"/>
    <w:rsid w:val="430A2AF4"/>
    <w:rsid w:val="432506C5"/>
    <w:rsid w:val="433454BE"/>
    <w:rsid w:val="433A3D54"/>
    <w:rsid w:val="433C187A"/>
    <w:rsid w:val="435A7F52"/>
    <w:rsid w:val="436314FD"/>
    <w:rsid w:val="4368445E"/>
    <w:rsid w:val="436E00E3"/>
    <w:rsid w:val="436F472F"/>
    <w:rsid w:val="437652FC"/>
    <w:rsid w:val="438A6A89"/>
    <w:rsid w:val="438B45A3"/>
    <w:rsid w:val="43901A1E"/>
    <w:rsid w:val="439E0787"/>
    <w:rsid w:val="439E40AE"/>
    <w:rsid w:val="43A0005B"/>
    <w:rsid w:val="43A6388C"/>
    <w:rsid w:val="43AD1F46"/>
    <w:rsid w:val="43B14016"/>
    <w:rsid w:val="43B6162D"/>
    <w:rsid w:val="43BB2753"/>
    <w:rsid w:val="43C31F9B"/>
    <w:rsid w:val="43C95804"/>
    <w:rsid w:val="43DB3E7F"/>
    <w:rsid w:val="43DD305D"/>
    <w:rsid w:val="43E5316C"/>
    <w:rsid w:val="43E54B70"/>
    <w:rsid w:val="43F645D6"/>
    <w:rsid w:val="43F670B2"/>
    <w:rsid w:val="440C3942"/>
    <w:rsid w:val="442545B7"/>
    <w:rsid w:val="44284413"/>
    <w:rsid w:val="443455D0"/>
    <w:rsid w:val="443E0535"/>
    <w:rsid w:val="443F32FA"/>
    <w:rsid w:val="44433E87"/>
    <w:rsid w:val="44562E10"/>
    <w:rsid w:val="446E2CE6"/>
    <w:rsid w:val="44704B0A"/>
    <w:rsid w:val="447119F7"/>
    <w:rsid w:val="447E022A"/>
    <w:rsid w:val="44807DD3"/>
    <w:rsid w:val="44817267"/>
    <w:rsid w:val="449D459A"/>
    <w:rsid w:val="44A771C7"/>
    <w:rsid w:val="44CE0BF8"/>
    <w:rsid w:val="44D40060"/>
    <w:rsid w:val="44DF4BB3"/>
    <w:rsid w:val="44E26451"/>
    <w:rsid w:val="45010FCD"/>
    <w:rsid w:val="45013506"/>
    <w:rsid w:val="450468CF"/>
    <w:rsid w:val="45124F88"/>
    <w:rsid w:val="45127C03"/>
    <w:rsid w:val="451A3E3D"/>
    <w:rsid w:val="451E1B7F"/>
    <w:rsid w:val="451F3201"/>
    <w:rsid w:val="4521341D"/>
    <w:rsid w:val="45246A6A"/>
    <w:rsid w:val="4545710C"/>
    <w:rsid w:val="454C400F"/>
    <w:rsid w:val="454D0082"/>
    <w:rsid w:val="45505AB1"/>
    <w:rsid w:val="455B0133"/>
    <w:rsid w:val="455C6204"/>
    <w:rsid w:val="45621D5B"/>
    <w:rsid w:val="45717CEA"/>
    <w:rsid w:val="458962E8"/>
    <w:rsid w:val="458A2D71"/>
    <w:rsid w:val="45943BEF"/>
    <w:rsid w:val="45961498"/>
    <w:rsid w:val="45A409ED"/>
    <w:rsid w:val="45A961E4"/>
    <w:rsid w:val="45B521CA"/>
    <w:rsid w:val="45B63B66"/>
    <w:rsid w:val="45B918A8"/>
    <w:rsid w:val="45C36283"/>
    <w:rsid w:val="45C94DCF"/>
    <w:rsid w:val="45E701C3"/>
    <w:rsid w:val="45ED3300"/>
    <w:rsid w:val="45F14B9E"/>
    <w:rsid w:val="45F4263A"/>
    <w:rsid w:val="45F428E0"/>
    <w:rsid w:val="46032B23"/>
    <w:rsid w:val="461D1E37"/>
    <w:rsid w:val="46230EAE"/>
    <w:rsid w:val="462C207A"/>
    <w:rsid w:val="463902F3"/>
    <w:rsid w:val="465810C1"/>
    <w:rsid w:val="465E6349"/>
    <w:rsid w:val="467632F5"/>
    <w:rsid w:val="468561CA"/>
    <w:rsid w:val="46900D01"/>
    <w:rsid w:val="46995F99"/>
    <w:rsid w:val="46A952BF"/>
    <w:rsid w:val="46AE6F33"/>
    <w:rsid w:val="46B21728"/>
    <w:rsid w:val="46B81B60"/>
    <w:rsid w:val="46C10A14"/>
    <w:rsid w:val="46CE19F8"/>
    <w:rsid w:val="46D324F5"/>
    <w:rsid w:val="46DE08D6"/>
    <w:rsid w:val="46E32B60"/>
    <w:rsid w:val="46E60E0B"/>
    <w:rsid w:val="46F00A38"/>
    <w:rsid w:val="47046B53"/>
    <w:rsid w:val="47076142"/>
    <w:rsid w:val="472246EA"/>
    <w:rsid w:val="472471F5"/>
    <w:rsid w:val="4726494B"/>
    <w:rsid w:val="472E5FDE"/>
    <w:rsid w:val="4730664C"/>
    <w:rsid w:val="47321912"/>
    <w:rsid w:val="47356F35"/>
    <w:rsid w:val="473F5DDD"/>
    <w:rsid w:val="474D5AFC"/>
    <w:rsid w:val="47502D33"/>
    <w:rsid w:val="475A6773"/>
    <w:rsid w:val="475F2220"/>
    <w:rsid w:val="47754EFB"/>
    <w:rsid w:val="47761CCA"/>
    <w:rsid w:val="47783DC3"/>
    <w:rsid w:val="47804307"/>
    <w:rsid w:val="47833F1C"/>
    <w:rsid w:val="4791398A"/>
    <w:rsid w:val="47977CDB"/>
    <w:rsid w:val="479A4CE8"/>
    <w:rsid w:val="479E529B"/>
    <w:rsid w:val="47B24801"/>
    <w:rsid w:val="47C748F7"/>
    <w:rsid w:val="47C84024"/>
    <w:rsid w:val="47EA4517"/>
    <w:rsid w:val="47F11685"/>
    <w:rsid w:val="47F55CAD"/>
    <w:rsid w:val="47F56383"/>
    <w:rsid w:val="48164C1B"/>
    <w:rsid w:val="481975E0"/>
    <w:rsid w:val="48276F9D"/>
    <w:rsid w:val="482E032B"/>
    <w:rsid w:val="483D40CA"/>
    <w:rsid w:val="4855757D"/>
    <w:rsid w:val="485F5237"/>
    <w:rsid w:val="486636F4"/>
    <w:rsid w:val="488E2D92"/>
    <w:rsid w:val="488F6425"/>
    <w:rsid w:val="48A713C7"/>
    <w:rsid w:val="48B028BF"/>
    <w:rsid w:val="48B7695A"/>
    <w:rsid w:val="48D569F9"/>
    <w:rsid w:val="48D6451F"/>
    <w:rsid w:val="48E24C72"/>
    <w:rsid w:val="48E25635"/>
    <w:rsid w:val="48E90DFD"/>
    <w:rsid w:val="48EB748D"/>
    <w:rsid w:val="48FF5824"/>
    <w:rsid w:val="4904108C"/>
    <w:rsid w:val="49153299"/>
    <w:rsid w:val="491A3825"/>
    <w:rsid w:val="49217C44"/>
    <w:rsid w:val="49226D5E"/>
    <w:rsid w:val="49296D45"/>
    <w:rsid w:val="493406CD"/>
    <w:rsid w:val="49357497"/>
    <w:rsid w:val="49381DEE"/>
    <w:rsid w:val="493B2AC3"/>
    <w:rsid w:val="493D634C"/>
    <w:rsid w:val="49461077"/>
    <w:rsid w:val="49487EE6"/>
    <w:rsid w:val="494E3B36"/>
    <w:rsid w:val="49572810"/>
    <w:rsid w:val="49777AB0"/>
    <w:rsid w:val="497913CB"/>
    <w:rsid w:val="49816239"/>
    <w:rsid w:val="49845C45"/>
    <w:rsid w:val="498B3956"/>
    <w:rsid w:val="49956188"/>
    <w:rsid w:val="49965AEC"/>
    <w:rsid w:val="49AD34D2"/>
    <w:rsid w:val="49B91E77"/>
    <w:rsid w:val="49BC684D"/>
    <w:rsid w:val="49C1138B"/>
    <w:rsid w:val="49CB73F1"/>
    <w:rsid w:val="49CD76D0"/>
    <w:rsid w:val="49D07890"/>
    <w:rsid w:val="49DE1773"/>
    <w:rsid w:val="49E00517"/>
    <w:rsid w:val="49F50147"/>
    <w:rsid w:val="49F50FEC"/>
    <w:rsid w:val="49FC7FB5"/>
    <w:rsid w:val="49FD651A"/>
    <w:rsid w:val="4A007AA5"/>
    <w:rsid w:val="4A1B51B3"/>
    <w:rsid w:val="4A2319E6"/>
    <w:rsid w:val="4A286FFC"/>
    <w:rsid w:val="4A435BE4"/>
    <w:rsid w:val="4A44130F"/>
    <w:rsid w:val="4A4554B8"/>
    <w:rsid w:val="4A4A0D21"/>
    <w:rsid w:val="4A5976A6"/>
    <w:rsid w:val="4A5E3966"/>
    <w:rsid w:val="4A6F0604"/>
    <w:rsid w:val="4A6F0F17"/>
    <w:rsid w:val="4A7B0C83"/>
    <w:rsid w:val="4A942A2E"/>
    <w:rsid w:val="4A9621B8"/>
    <w:rsid w:val="4A963F66"/>
    <w:rsid w:val="4A965D14"/>
    <w:rsid w:val="4AA059D7"/>
    <w:rsid w:val="4AB91D68"/>
    <w:rsid w:val="4AF34F14"/>
    <w:rsid w:val="4AFA62A3"/>
    <w:rsid w:val="4B047121"/>
    <w:rsid w:val="4B245A16"/>
    <w:rsid w:val="4B2C2366"/>
    <w:rsid w:val="4B2C3E78"/>
    <w:rsid w:val="4B3045F7"/>
    <w:rsid w:val="4B5005B9"/>
    <w:rsid w:val="4B5A179F"/>
    <w:rsid w:val="4B5C51AF"/>
    <w:rsid w:val="4B5E0F27"/>
    <w:rsid w:val="4B6603A8"/>
    <w:rsid w:val="4B7A5635"/>
    <w:rsid w:val="4B83273C"/>
    <w:rsid w:val="4B9366F7"/>
    <w:rsid w:val="4B9A1834"/>
    <w:rsid w:val="4BA07E7F"/>
    <w:rsid w:val="4BA27C1C"/>
    <w:rsid w:val="4BC464BA"/>
    <w:rsid w:val="4BD016F9"/>
    <w:rsid w:val="4BF13331"/>
    <w:rsid w:val="4BF5032D"/>
    <w:rsid w:val="4C013661"/>
    <w:rsid w:val="4C053F67"/>
    <w:rsid w:val="4C0C0983"/>
    <w:rsid w:val="4C115F9A"/>
    <w:rsid w:val="4C1B0BC7"/>
    <w:rsid w:val="4C1E06B7"/>
    <w:rsid w:val="4C1E4213"/>
    <w:rsid w:val="4C2061DD"/>
    <w:rsid w:val="4C274801"/>
    <w:rsid w:val="4C2D4456"/>
    <w:rsid w:val="4C371D6F"/>
    <w:rsid w:val="4C40062D"/>
    <w:rsid w:val="4C483579"/>
    <w:rsid w:val="4C4D2D4A"/>
    <w:rsid w:val="4C577725"/>
    <w:rsid w:val="4C5902C5"/>
    <w:rsid w:val="4C5E6D05"/>
    <w:rsid w:val="4C6822BE"/>
    <w:rsid w:val="4C740884"/>
    <w:rsid w:val="4C76436C"/>
    <w:rsid w:val="4C7B1665"/>
    <w:rsid w:val="4C7F393E"/>
    <w:rsid w:val="4C92651F"/>
    <w:rsid w:val="4C93412D"/>
    <w:rsid w:val="4C9D6AA1"/>
    <w:rsid w:val="4CAB698A"/>
    <w:rsid w:val="4CAC585D"/>
    <w:rsid w:val="4CAC77BE"/>
    <w:rsid w:val="4CCF19B1"/>
    <w:rsid w:val="4CD46FC7"/>
    <w:rsid w:val="4CD80866"/>
    <w:rsid w:val="4CE30085"/>
    <w:rsid w:val="4CE92A73"/>
    <w:rsid w:val="4CEC3B68"/>
    <w:rsid w:val="4CF83C05"/>
    <w:rsid w:val="4CF8639A"/>
    <w:rsid w:val="4CFE5DF2"/>
    <w:rsid w:val="4D225F85"/>
    <w:rsid w:val="4D350BCF"/>
    <w:rsid w:val="4D3604FB"/>
    <w:rsid w:val="4D3D4B6D"/>
    <w:rsid w:val="4D423F31"/>
    <w:rsid w:val="4D483928"/>
    <w:rsid w:val="4D5A3970"/>
    <w:rsid w:val="4D5F65A9"/>
    <w:rsid w:val="4D686888"/>
    <w:rsid w:val="4D6B3488"/>
    <w:rsid w:val="4D715F4A"/>
    <w:rsid w:val="4D740170"/>
    <w:rsid w:val="4D8E17CB"/>
    <w:rsid w:val="4D92310A"/>
    <w:rsid w:val="4DA1378E"/>
    <w:rsid w:val="4DBC1F35"/>
    <w:rsid w:val="4DBC60D7"/>
    <w:rsid w:val="4DC8085E"/>
    <w:rsid w:val="4DCB68F7"/>
    <w:rsid w:val="4DCE6352"/>
    <w:rsid w:val="4DD3727F"/>
    <w:rsid w:val="4DDF79D2"/>
    <w:rsid w:val="4DE81C5E"/>
    <w:rsid w:val="4DF05F69"/>
    <w:rsid w:val="4DF95127"/>
    <w:rsid w:val="4DFF4C65"/>
    <w:rsid w:val="4E0E5AF7"/>
    <w:rsid w:val="4E2F6BAB"/>
    <w:rsid w:val="4E3D564E"/>
    <w:rsid w:val="4E5E123E"/>
    <w:rsid w:val="4E6F6FA8"/>
    <w:rsid w:val="4E93713A"/>
    <w:rsid w:val="4E9A0D30"/>
    <w:rsid w:val="4E9B5FEF"/>
    <w:rsid w:val="4EB40E5E"/>
    <w:rsid w:val="4EB726FD"/>
    <w:rsid w:val="4EBF2070"/>
    <w:rsid w:val="4EC72940"/>
    <w:rsid w:val="4ED67B50"/>
    <w:rsid w:val="4ED96BA4"/>
    <w:rsid w:val="4EDE412D"/>
    <w:rsid w:val="4EE03B24"/>
    <w:rsid w:val="4EE2777A"/>
    <w:rsid w:val="4EF851EF"/>
    <w:rsid w:val="4F043B94"/>
    <w:rsid w:val="4F1418FD"/>
    <w:rsid w:val="4F195E60"/>
    <w:rsid w:val="4F5B577E"/>
    <w:rsid w:val="4F6463E1"/>
    <w:rsid w:val="4F6E3703"/>
    <w:rsid w:val="4F7C2AC3"/>
    <w:rsid w:val="4F912F4E"/>
    <w:rsid w:val="4FA15035"/>
    <w:rsid w:val="4FA56133"/>
    <w:rsid w:val="4FA638E6"/>
    <w:rsid w:val="4FA91930"/>
    <w:rsid w:val="4FB64D53"/>
    <w:rsid w:val="4FC275AB"/>
    <w:rsid w:val="4FCC3F86"/>
    <w:rsid w:val="4FCE7CFE"/>
    <w:rsid w:val="4FDD43E5"/>
    <w:rsid w:val="4FE614EB"/>
    <w:rsid w:val="4FEE03A0"/>
    <w:rsid w:val="4FFF6109"/>
    <w:rsid w:val="500656EA"/>
    <w:rsid w:val="500876B4"/>
    <w:rsid w:val="500A222F"/>
    <w:rsid w:val="500F0A42"/>
    <w:rsid w:val="5019541D"/>
    <w:rsid w:val="501D030A"/>
    <w:rsid w:val="50306C0B"/>
    <w:rsid w:val="503C110B"/>
    <w:rsid w:val="503E1C80"/>
    <w:rsid w:val="50485192"/>
    <w:rsid w:val="504F5199"/>
    <w:rsid w:val="505226DD"/>
    <w:rsid w:val="5059653D"/>
    <w:rsid w:val="506A12AA"/>
    <w:rsid w:val="506A3ECB"/>
    <w:rsid w:val="506B379F"/>
    <w:rsid w:val="508A631B"/>
    <w:rsid w:val="508B59EE"/>
    <w:rsid w:val="50946380"/>
    <w:rsid w:val="509F5BB5"/>
    <w:rsid w:val="50D77086"/>
    <w:rsid w:val="50D92DFE"/>
    <w:rsid w:val="50DC0D59"/>
    <w:rsid w:val="50E46C80"/>
    <w:rsid w:val="50E517A3"/>
    <w:rsid w:val="50E747F3"/>
    <w:rsid w:val="50ED0658"/>
    <w:rsid w:val="50EE10DE"/>
    <w:rsid w:val="50F43882"/>
    <w:rsid w:val="50F86314"/>
    <w:rsid w:val="510776AF"/>
    <w:rsid w:val="51173258"/>
    <w:rsid w:val="51190A67"/>
    <w:rsid w:val="511A58F1"/>
    <w:rsid w:val="511D256C"/>
    <w:rsid w:val="51200A2D"/>
    <w:rsid w:val="5139389D"/>
    <w:rsid w:val="514106BE"/>
    <w:rsid w:val="51431A8C"/>
    <w:rsid w:val="51443F69"/>
    <w:rsid w:val="5187446D"/>
    <w:rsid w:val="518D741E"/>
    <w:rsid w:val="518E2DCE"/>
    <w:rsid w:val="51944027"/>
    <w:rsid w:val="519531C9"/>
    <w:rsid w:val="51B7313F"/>
    <w:rsid w:val="51BD627C"/>
    <w:rsid w:val="51BF0246"/>
    <w:rsid w:val="51C13FBE"/>
    <w:rsid w:val="51CF5BD5"/>
    <w:rsid w:val="51D81308"/>
    <w:rsid w:val="51E1640E"/>
    <w:rsid w:val="51E67581"/>
    <w:rsid w:val="51EB103B"/>
    <w:rsid w:val="51FB0B52"/>
    <w:rsid w:val="52057F80"/>
    <w:rsid w:val="52650DED"/>
    <w:rsid w:val="526E11F2"/>
    <w:rsid w:val="526E7576"/>
    <w:rsid w:val="52715B58"/>
    <w:rsid w:val="5276017A"/>
    <w:rsid w:val="5287795E"/>
    <w:rsid w:val="528A2602"/>
    <w:rsid w:val="528A7530"/>
    <w:rsid w:val="528F6BDC"/>
    <w:rsid w:val="52941275"/>
    <w:rsid w:val="52AD1515"/>
    <w:rsid w:val="52BF6315"/>
    <w:rsid w:val="52C50972"/>
    <w:rsid w:val="52CF44B9"/>
    <w:rsid w:val="52D63A99"/>
    <w:rsid w:val="52E066C6"/>
    <w:rsid w:val="52E1212C"/>
    <w:rsid w:val="52E410BC"/>
    <w:rsid w:val="52E9096C"/>
    <w:rsid w:val="52ED287F"/>
    <w:rsid w:val="52FF4294"/>
    <w:rsid w:val="530B4BE6"/>
    <w:rsid w:val="531567D7"/>
    <w:rsid w:val="53220A8C"/>
    <w:rsid w:val="532C36B9"/>
    <w:rsid w:val="533B52F7"/>
    <w:rsid w:val="5349426B"/>
    <w:rsid w:val="53503320"/>
    <w:rsid w:val="535A5ACE"/>
    <w:rsid w:val="535C0E74"/>
    <w:rsid w:val="535D2E60"/>
    <w:rsid w:val="535D7D17"/>
    <w:rsid w:val="535E561C"/>
    <w:rsid w:val="536746F1"/>
    <w:rsid w:val="5382152B"/>
    <w:rsid w:val="53835026"/>
    <w:rsid w:val="5386726D"/>
    <w:rsid w:val="53A45945"/>
    <w:rsid w:val="53B4646A"/>
    <w:rsid w:val="53B70C98"/>
    <w:rsid w:val="53BD2563"/>
    <w:rsid w:val="53C9479B"/>
    <w:rsid w:val="53CF21C3"/>
    <w:rsid w:val="53E43F94"/>
    <w:rsid w:val="53F65E3A"/>
    <w:rsid w:val="53FA7313"/>
    <w:rsid w:val="54211DC7"/>
    <w:rsid w:val="542813F0"/>
    <w:rsid w:val="542B3971"/>
    <w:rsid w:val="542B571F"/>
    <w:rsid w:val="542D40CD"/>
    <w:rsid w:val="542E3461"/>
    <w:rsid w:val="54324CFF"/>
    <w:rsid w:val="543640C4"/>
    <w:rsid w:val="5439265D"/>
    <w:rsid w:val="543F3434"/>
    <w:rsid w:val="543F566E"/>
    <w:rsid w:val="544229A0"/>
    <w:rsid w:val="54525319"/>
    <w:rsid w:val="545C3B2A"/>
    <w:rsid w:val="54660E4D"/>
    <w:rsid w:val="546E7D96"/>
    <w:rsid w:val="547215A0"/>
    <w:rsid w:val="5475243A"/>
    <w:rsid w:val="54754BEC"/>
    <w:rsid w:val="547B1796"/>
    <w:rsid w:val="548521D1"/>
    <w:rsid w:val="54880DC3"/>
    <w:rsid w:val="548F31AF"/>
    <w:rsid w:val="5495762B"/>
    <w:rsid w:val="549B5458"/>
    <w:rsid w:val="54B73456"/>
    <w:rsid w:val="54BE6593"/>
    <w:rsid w:val="54CB0CB0"/>
    <w:rsid w:val="54CB4FB3"/>
    <w:rsid w:val="54CC5154"/>
    <w:rsid w:val="54D5147C"/>
    <w:rsid w:val="54E70C00"/>
    <w:rsid w:val="54E87AB4"/>
    <w:rsid w:val="54F16968"/>
    <w:rsid w:val="54FC530D"/>
    <w:rsid w:val="5503044A"/>
    <w:rsid w:val="550B5550"/>
    <w:rsid w:val="55264138"/>
    <w:rsid w:val="552F7491"/>
    <w:rsid w:val="553272E3"/>
    <w:rsid w:val="55366A71"/>
    <w:rsid w:val="55466485"/>
    <w:rsid w:val="554967A4"/>
    <w:rsid w:val="555E784F"/>
    <w:rsid w:val="55713A97"/>
    <w:rsid w:val="55871DA6"/>
    <w:rsid w:val="55876190"/>
    <w:rsid w:val="558D19DD"/>
    <w:rsid w:val="559C3432"/>
    <w:rsid w:val="55A27C63"/>
    <w:rsid w:val="55A57753"/>
    <w:rsid w:val="55AC6D33"/>
    <w:rsid w:val="55D6790C"/>
    <w:rsid w:val="55D80B1F"/>
    <w:rsid w:val="55DC70F4"/>
    <w:rsid w:val="55EA2C7C"/>
    <w:rsid w:val="560A591A"/>
    <w:rsid w:val="561D1627"/>
    <w:rsid w:val="56317B21"/>
    <w:rsid w:val="56351736"/>
    <w:rsid w:val="563C11AF"/>
    <w:rsid w:val="564000A1"/>
    <w:rsid w:val="56494582"/>
    <w:rsid w:val="564C7024"/>
    <w:rsid w:val="56551179"/>
    <w:rsid w:val="56605A87"/>
    <w:rsid w:val="56710CDC"/>
    <w:rsid w:val="56764C4B"/>
    <w:rsid w:val="56797409"/>
    <w:rsid w:val="567C0AA8"/>
    <w:rsid w:val="56837A94"/>
    <w:rsid w:val="568E6439"/>
    <w:rsid w:val="569577C7"/>
    <w:rsid w:val="56A33C92"/>
    <w:rsid w:val="56A60ACB"/>
    <w:rsid w:val="56A62B21"/>
    <w:rsid w:val="56B440F1"/>
    <w:rsid w:val="56C63E25"/>
    <w:rsid w:val="56CC6E9E"/>
    <w:rsid w:val="56D34B79"/>
    <w:rsid w:val="56D976B4"/>
    <w:rsid w:val="56E36785"/>
    <w:rsid w:val="56E51E92"/>
    <w:rsid w:val="56E570C5"/>
    <w:rsid w:val="56EB5639"/>
    <w:rsid w:val="56FB3ACE"/>
    <w:rsid w:val="56FE672C"/>
    <w:rsid w:val="57186D0C"/>
    <w:rsid w:val="571E77BD"/>
    <w:rsid w:val="57275D5E"/>
    <w:rsid w:val="572C48E8"/>
    <w:rsid w:val="572D5C52"/>
    <w:rsid w:val="573E7343"/>
    <w:rsid w:val="573E7E5F"/>
    <w:rsid w:val="57407733"/>
    <w:rsid w:val="57454D4A"/>
    <w:rsid w:val="57462870"/>
    <w:rsid w:val="574C432A"/>
    <w:rsid w:val="57514029"/>
    <w:rsid w:val="57541EFF"/>
    <w:rsid w:val="57595348"/>
    <w:rsid w:val="575E3F98"/>
    <w:rsid w:val="575E405D"/>
    <w:rsid w:val="576A0FE7"/>
    <w:rsid w:val="577949F3"/>
    <w:rsid w:val="57833440"/>
    <w:rsid w:val="57874208"/>
    <w:rsid w:val="57882019"/>
    <w:rsid w:val="57896AD2"/>
    <w:rsid w:val="578D2120"/>
    <w:rsid w:val="579161E1"/>
    <w:rsid w:val="579D4947"/>
    <w:rsid w:val="57AE6D93"/>
    <w:rsid w:val="57B23877"/>
    <w:rsid w:val="57B36157"/>
    <w:rsid w:val="57B93A8A"/>
    <w:rsid w:val="57BB122C"/>
    <w:rsid w:val="57C02622"/>
    <w:rsid w:val="57C06AC6"/>
    <w:rsid w:val="57CF249D"/>
    <w:rsid w:val="57E0551D"/>
    <w:rsid w:val="57EC0EEF"/>
    <w:rsid w:val="57F329F7"/>
    <w:rsid w:val="57F93398"/>
    <w:rsid w:val="57FA1FD8"/>
    <w:rsid w:val="58022C3B"/>
    <w:rsid w:val="580A14C1"/>
    <w:rsid w:val="58247055"/>
    <w:rsid w:val="58262B79"/>
    <w:rsid w:val="5837339B"/>
    <w:rsid w:val="583C31B4"/>
    <w:rsid w:val="5844246E"/>
    <w:rsid w:val="584C4556"/>
    <w:rsid w:val="58507E4A"/>
    <w:rsid w:val="58586CFE"/>
    <w:rsid w:val="587633F2"/>
    <w:rsid w:val="587D121C"/>
    <w:rsid w:val="589C2FF6"/>
    <w:rsid w:val="589D45C8"/>
    <w:rsid w:val="58AB1524"/>
    <w:rsid w:val="58AC2BA6"/>
    <w:rsid w:val="58AD5CF4"/>
    <w:rsid w:val="58BD6B62"/>
    <w:rsid w:val="58BF6D7E"/>
    <w:rsid w:val="58C20FD6"/>
    <w:rsid w:val="58CD1431"/>
    <w:rsid w:val="58CE4F11"/>
    <w:rsid w:val="58F509F1"/>
    <w:rsid w:val="590C52A5"/>
    <w:rsid w:val="59154BEF"/>
    <w:rsid w:val="5915699E"/>
    <w:rsid w:val="59342755"/>
    <w:rsid w:val="59380DF6"/>
    <w:rsid w:val="593C3F2A"/>
    <w:rsid w:val="595C141C"/>
    <w:rsid w:val="59635DF5"/>
    <w:rsid w:val="59663EAA"/>
    <w:rsid w:val="596D0588"/>
    <w:rsid w:val="5973234B"/>
    <w:rsid w:val="597F12EA"/>
    <w:rsid w:val="59843F7F"/>
    <w:rsid w:val="59853CC1"/>
    <w:rsid w:val="5991071A"/>
    <w:rsid w:val="59945B14"/>
    <w:rsid w:val="59A45FA0"/>
    <w:rsid w:val="59A541C5"/>
    <w:rsid w:val="59AD05EC"/>
    <w:rsid w:val="59B02563"/>
    <w:rsid w:val="59BD666F"/>
    <w:rsid w:val="59CF532A"/>
    <w:rsid w:val="59D40607"/>
    <w:rsid w:val="59D506A7"/>
    <w:rsid w:val="59DA5583"/>
    <w:rsid w:val="59F207FC"/>
    <w:rsid w:val="59F56B45"/>
    <w:rsid w:val="59FC2729"/>
    <w:rsid w:val="5A026F22"/>
    <w:rsid w:val="5A0A0C13"/>
    <w:rsid w:val="5A107D37"/>
    <w:rsid w:val="5A186745"/>
    <w:rsid w:val="5A1B76FE"/>
    <w:rsid w:val="5A236E98"/>
    <w:rsid w:val="5A2B7280"/>
    <w:rsid w:val="5A2D2912"/>
    <w:rsid w:val="5A2E41BB"/>
    <w:rsid w:val="5A384871"/>
    <w:rsid w:val="5A427B89"/>
    <w:rsid w:val="5A475F85"/>
    <w:rsid w:val="5A496136"/>
    <w:rsid w:val="5A4E3522"/>
    <w:rsid w:val="5A551748"/>
    <w:rsid w:val="5A5A4FB0"/>
    <w:rsid w:val="5A5C0D28"/>
    <w:rsid w:val="5A6341E0"/>
    <w:rsid w:val="5A8E4B76"/>
    <w:rsid w:val="5A9A35FE"/>
    <w:rsid w:val="5AA1673B"/>
    <w:rsid w:val="5ABC4F4B"/>
    <w:rsid w:val="5AC51A45"/>
    <w:rsid w:val="5AC76E41"/>
    <w:rsid w:val="5AD36B10"/>
    <w:rsid w:val="5AD654D0"/>
    <w:rsid w:val="5AE71E5C"/>
    <w:rsid w:val="5AE8436A"/>
    <w:rsid w:val="5AF23C70"/>
    <w:rsid w:val="5AFA6407"/>
    <w:rsid w:val="5AFF1F5C"/>
    <w:rsid w:val="5B057795"/>
    <w:rsid w:val="5B0643E1"/>
    <w:rsid w:val="5B123195"/>
    <w:rsid w:val="5B1769FD"/>
    <w:rsid w:val="5B215ACE"/>
    <w:rsid w:val="5B3F5F54"/>
    <w:rsid w:val="5B417F1E"/>
    <w:rsid w:val="5B4517BC"/>
    <w:rsid w:val="5B453FE5"/>
    <w:rsid w:val="5B535F17"/>
    <w:rsid w:val="5B5F2152"/>
    <w:rsid w:val="5B6A1223"/>
    <w:rsid w:val="5B8878FB"/>
    <w:rsid w:val="5B915AB8"/>
    <w:rsid w:val="5B962018"/>
    <w:rsid w:val="5B9A06E1"/>
    <w:rsid w:val="5BA6549C"/>
    <w:rsid w:val="5BA65FD3"/>
    <w:rsid w:val="5BAD57B7"/>
    <w:rsid w:val="5BB029AE"/>
    <w:rsid w:val="5BBA55DA"/>
    <w:rsid w:val="5BBB690A"/>
    <w:rsid w:val="5BBE0EDC"/>
    <w:rsid w:val="5BC07095"/>
    <w:rsid w:val="5BCB77E7"/>
    <w:rsid w:val="5BD60666"/>
    <w:rsid w:val="5BF31966"/>
    <w:rsid w:val="5C174686"/>
    <w:rsid w:val="5C225CD5"/>
    <w:rsid w:val="5C2A57D9"/>
    <w:rsid w:val="5C2A6C04"/>
    <w:rsid w:val="5C2F4E74"/>
    <w:rsid w:val="5C3057F6"/>
    <w:rsid w:val="5C3D3477"/>
    <w:rsid w:val="5C491EA8"/>
    <w:rsid w:val="5C4F0418"/>
    <w:rsid w:val="5C514191"/>
    <w:rsid w:val="5C563555"/>
    <w:rsid w:val="5C5D4917"/>
    <w:rsid w:val="5C5F68E2"/>
    <w:rsid w:val="5C677510"/>
    <w:rsid w:val="5C6E6DAF"/>
    <w:rsid w:val="5C76087C"/>
    <w:rsid w:val="5C78796F"/>
    <w:rsid w:val="5C7B2FBB"/>
    <w:rsid w:val="5C7C1D43"/>
    <w:rsid w:val="5C8E0F41"/>
    <w:rsid w:val="5C903D98"/>
    <w:rsid w:val="5C9931AA"/>
    <w:rsid w:val="5C9C495A"/>
    <w:rsid w:val="5CB07109"/>
    <w:rsid w:val="5CB23A9A"/>
    <w:rsid w:val="5CB70498"/>
    <w:rsid w:val="5CBA1D36"/>
    <w:rsid w:val="5CBF734C"/>
    <w:rsid w:val="5CCE41E1"/>
    <w:rsid w:val="5CD64696"/>
    <w:rsid w:val="5CDC17D1"/>
    <w:rsid w:val="5CE97C39"/>
    <w:rsid w:val="5D0154A8"/>
    <w:rsid w:val="5D104090"/>
    <w:rsid w:val="5D110251"/>
    <w:rsid w:val="5D121F6A"/>
    <w:rsid w:val="5D123920"/>
    <w:rsid w:val="5D245401"/>
    <w:rsid w:val="5D297F84"/>
    <w:rsid w:val="5D2E44D2"/>
    <w:rsid w:val="5D3A69D3"/>
    <w:rsid w:val="5D3E4715"/>
    <w:rsid w:val="5D4B54DD"/>
    <w:rsid w:val="5D537A94"/>
    <w:rsid w:val="5D5A1F51"/>
    <w:rsid w:val="5D5C4B9B"/>
    <w:rsid w:val="5D6C5CDF"/>
    <w:rsid w:val="5D72616D"/>
    <w:rsid w:val="5D79399F"/>
    <w:rsid w:val="5D872FC1"/>
    <w:rsid w:val="5D940E44"/>
    <w:rsid w:val="5D9D12F5"/>
    <w:rsid w:val="5DBC1ADE"/>
    <w:rsid w:val="5DBC4D87"/>
    <w:rsid w:val="5DD862B5"/>
    <w:rsid w:val="5DDB1F64"/>
    <w:rsid w:val="5DDD455F"/>
    <w:rsid w:val="5DE96998"/>
    <w:rsid w:val="5DF50B4C"/>
    <w:rsid w:val="5DFE30F3"/>
    <w:rsid w:val="5E0F7E5F"/>
    <w:rsid w:val="5E127950"/>
    <w:rsid w:val="5E1B5087"/>
    <w:rsid w:val="5E40626B"/>
    <w:rsid w:val="5E4B02DD"/>
    <w:rsid w:val="5E664BC1"/>
    <w:rsid w:val="5E6E102A"/>
    <w:rsid w:val="5E710B1A"/>
    <w:rsid w:val="5E7640E5"/>
    <w:rsid w:val="5E793B99"/>
    <w:rsid w:val="5E7D72BD"/>
    <w:rsid w:val="5E7F4FE5"/>
    <w:rsid w:val="5EA734E4"/>
    <w:rsid w:val="5EBB7FE7"/>
    <w:rsid w:val="5EC677DA"/>
    <w:rsid w:val="5ED25D32"/>
    <w:rsid w:val="5EDF089E"/>
    <w:rsid w:val="5EEC63F2"/>
    <w:rsid w:val="5EF32BB6"/>
    <w:rsid w:val="5EF35656"/>
    <w:rsid w:val="5EF534F9"/>
    <w:rsid w:val="5F004363"/>
    <w:rsid w:val="5F037243"/>
    <w:rsid w:val="5F04373C"/>
    <w:rsid w:val="5F0C67C2"/>
    <w:rsid w:val="5F317DA1"/>
    <w:rsid w:val="5F42431A"/>
    <w:rsid w:val="5F5547AB"/>
    <w:rsid w:val="5F571475"/>
    <w:rsid w:val="5F5D0FE7"/>
    <w:rsid w:val="5F5F0C28"/>
    <w:rsid w:val="5F661D01"/>
    <w:rsid w:val="5F6C347F"/>
    <w:rsid w:val="5F7B42E3"/>
    <w:rsid w:val="5F7C072B"/>
    <w:rsid w:val="5F8D1984"/>
    <w:rsid w:val="5F954394"/>
    <w:rsid w:val="5FA016B7"/>
    <w:rsid w:val="5FA56CCD"/>
    <w:rsid w:val="5FAD45A1"/>
    <w:rsid w:val="5FB23198"/>
    <w:rsid w:val="5FB24F46"/>
    <w:rsid w:val="5FB64290"/>
    <w:rsid w:val="5FC25EEC"/>
    <w:rsid w:val="5FCE4022"/>
    <w:rsid w:val="5FDC1FC3"/>
    <w:rsid w:val="5FE86BBA"/>
    <w:rsid w:val="5FFE1F39"/>
    <w:rsid w:val="5FFE63DD"/>
    <w:rsid w:val="60003F04"/>
    <w:rsid w:val="600B7F5A"/>
    <w:rsid w:val="600C0AFA"/>
    <w:rsid w:val="6029154D"/>
    <w:rsid w:val="60353F9F"/>
    <w:rsid w:val="60365B77"/>
    <w:rsid w:val="60421227"/>
    <w:rsid w:val="604A33D1"/>
    <w:rsid w:val="604C0EF7"/>
    <w:rsid w:val="60580955"/>
    <w:rsid w:val="60614D83"/>
    <w:rsid w:val="60632AE9"/>
    <w:rsid w:val="607408A0"/>
    <w:rsid w:val="607A2BF6"/>
    <w:rsid w:val="607C676C"/>
    <w:rsid w:val="608E59B3"/>
    <w:rsid w:val="608F1F1C"/>
    <w:rsid w:val="60A056E7"/>
    <w:rsid w:val="60AD570E"/>
    <w:rsid w:val="60B160EF"/>
    <w:rsid w:val="60BA6DD7"/>
    <w:rsid w:val="60C1245D"/>
    <w:rsid w:val="60C50CA9"/>
    <w:rsid w:val="60C65C41"/>
    <w:rsid w:val="60CC2038"/>
    <w:rsid w:val="60D12A29"/>
    <w:rsid w:val="60D204EC"/>
    <w:rsid w:val="60D40EEC"/>
    <w:rsid w:val="60D47616"/>
    <w:rsid w:val="60DB312E"/>
    <w:rsid w:val="60E554D5"/>
    <w:rsid w:val="60FA4CF8"/>
    <w:rsid w:val="60FE1827"/>
    <w:rsid w:val="6106379C"/>
    <w:rsid w:val="611C2337"/>
    <w:rsid w:val="611E6C3B"/>
    <w:rsid w:val="612D5EC3"/>
    <w:rsid w:val="613E1E53"/>
    <w:rsid w:val="614222A6"/>
    <w:rsid w:val="61493688"/>
    <w:rsid w:val="614F0FD2"/>
    <w:rsid w:val="61534507"/>
    <w:rsid w:val="615D5386"/>
    <w:rsid w:val="6162299C"/>
    <w:rsid w:val="617A5F38"/>
    <w:rsid w:val="61881F1F"/>
    <w:rsid w:val="618A7AAC"/>
    <w:rsid w:val="619F599E"/>
    <w:rsid w:val="61A31DFF"/>
    <w:rsid w:val="61AB32F6"/>
    <w:rsid w:val="61B054B5"/>
    <w:rsid w:val="61BC3E5A"/>
    <w:rsid w:val="61D07906"/>
    <w:rsid w:val="61DC68BA"/>
    <w:rsid w:val="61E237BA"/>
    <w:rsid w:val="61EF2482"/>
    <w:rsid w:val="61F04BA2"/>
    <w:rsid w:val="61F651DA"/>
    <w:rsid w:val="6201317C"/>
    <w:rsid w:val="62145393"/>
    <w:rsid w:val="621C2B4B"/>
    <w:rsid w:val="621F43E9"/>
    <w:rsid w:val="622539B8"/>
    <w:rsid w:val="62282D18"/>
    <w:rsid w:val="622F0AD0"/>
    <w:rsid w:val="62314848"/>
    <w:rsid w:val="62344338"/>
    <w:rsid w:val="624502F4"/>
    <w:rsid w:val="624B51DE"/>
    <w:rsid w:val="624D4635"/>
    <w:rsid w:val="62570027"/>
    <w:rsid w:val="625D388F"/>
    <w:rsid w:val="62606EDB"/>
    <w:rsid w:val="62732569"/>
    <w:rsid w:val="6284568A"/>
    <w:rsid w:val="62896F64"/>
    <w:rsid w:val="628B41FB"/>
    <w:rsid w:val="628C7CD0"/>
    <w:rsid w:val="62976675"/>
    <w:rsid w:val="62A07565"/>
    <w:rsid w:val="62A91FE3"/>
    <w:rsid w:val="62B10B65"/>
    <w:rsid w:val="62BF1942"/>
    <w:rsid w:val="62BF65FF"/>
    <w:rsid w:val="62C51434"/>
    <w:rsid w:val="62C751AC"/>
    <w:rsid w:val="62C7680A"/>
    <w:rsid w:val="62CD4B88"/>
    <w:rsid w:val="62CF0EC4"/>
    <w:rsid w:val="62D624B7"/>
    <w:rsid w:val="62E05C2A"/>
    <w:rsid w:val="62EC01DA"/>
    <w:rsid w:val="62F835B8"/>
    <w:rsid w:val="62FD1F6E"/>
    <w:rsid w:val="631D53F1"/>
    <w:rsid w:val="632B2E03"/>
    <w:rsid w:val="633210E0"/>
    <w:rsid w:val="63384056"/>
    <w:rsid w:val="63387E58"/>
    <w:rsid w:val="633B5253"/>
    <w:rsid w:val="635A3B41"/>
    <w:rsid w:val="636D0083"/>
    <w:rsid w:val="63723C6C"/>
    <w:rsid w:val="6373422E"/>
    <w:rsid w:val="637C5F97"/>
    <w:rsid w:val="637F7129"/>
    <w:rsid w:val="63895E98"/>
    <w:rsid w:val="638D69A9"/>
    <w:rsid w:val="638E47A4"/>
    <w:rsid w:val="63934D50"/>
    <w:rsid w:val="639363A9"/>
    <w:rsid w:val="63950E07"/>
    <w:rsid w:val="63981CEA"/>
    <w:rsid w:val="639A10B9"/>
    <w:rsid w:val="63AA1959"/>
    <w:rsid w:val="63DB6FFF"/>
    <w:rsid w:val="63E37DC4"/>
    <w:rsid w:val="63E87188"/>
    <w:rsid w:val="63F975E8"/>
    <w:rsid w:val="63FF44D2"/>
    <w:rsid w:val="64063AB3"/>
    <w:rsid w:val="640E7BEC"/>
    <w:rsid w:val="64191A38"/>
    <w:rsid w:val="64285209"/>
    <w:rsid w:val="643B228F"/>
    <w:rsid w:val="643C28AA"/>
    <w:rsid w:val="643C6545"/>
    <w:rsid w:val="64453D1C"/>
    <w:rsid w:val="646A5DEF"/>
    <w:rsid w:val="6470078E"/>
    <w:rsid w:val="6473477D"/>
    <w:rsid w:val="64760C38"/>
    <w:rsid w:val="647C34E7"/>
    <w:rsid w:val="64917820"/>
    <w:rsid w:val="649716A0"/>
    <w:rsid w:val="649D4417"/>
    <w:rsid w:val="64A77044"/>
    <w:rsid w:val="64B13A1E"/>
    <w:rsid w:val="64B44539"/>
    <w:rsid w:val="64D616D7"/>
    <w:rsid w:val="64D8544F"/>
    <w:rsid w:val="65030BBD"/>
    <w:rsid w:val="650C1BD9"/>
    <w:rsid w:val="651B358E"/>
    <w:rsid w:val="652414F0"/>
    <w:rsid w:val="6524497B"/>
    <w:rsid w:val="653308D7"/>
    <w:rsid w:val="653A493C"/>
    <w:rsid w:val="653F1EFC"/>
    <w:rsid w:val="65426D6C"/>
    <w:rsid w:val="65512720"/>
    <w:rsid w:val="65615E7B"/>
    <w:rsid w:val="656B62C3"/>
    <w:rsid w:val="656C3DE9"/>
    <w:rsid w:val="65742DBF"/>
    <w:rsid w:val="657A6506"/>
    <w:rsid w:val="65816E9E"/>
    <w:rsid w:val="65886E23"/>
    <w:rsid w:val="65995477"/>
    <w:rsid w:val="659A5DC1"/>
    <w:rsid w:val="659C34FD"/>
    <w:rsid w:val="659F3FC6"/>
    <w:rsid w:val="65A9491F"/>
    <w:rsid w:val="65BD4645"/>
    <w:rsid w:val="65BE5A65"/>
    <w:rsid w:val="65BF2DAE"/>
    <w:rsid w:val="65C5796B"/>
    <w:rsid w:val="65C65686"/>
    <w:rsid w:val="65DE4CE7"/>
    <w:rsid w:val="65E63D8F"/>
    <w:rsid w:val="65F8567D"/>
    <w:rsid w:val="66037DFB"/>
    <w:rsid w:val="66164583"/>
    <w:rsid w:val="661701F9"/>
    <w:rsid w:val="66271AA6"/>
    <w:rsid w:val="66324ABD"/>
    <w:rsid w:val="66342B59"/>
    <w:rsid w:val="663C1A0D"/>
    <w:rsid w:val="66486604"/>
    <w:rsid w:val="66547382"/>
    <w:rsid w:val="66680A54"/>
    <w:rsid w:val="66725EC6"/>
    <w:rsid w:val="66732065"/>
    <w:rsid w:val="667D6E71"/>
    <w:rsid w:val="66930440"/>
    <w:rsid w:val="66935328"/>
    <w:rsid w:val="66995558"/>
    <w:rsid w:val="669A287A"/>
    <w:rsid w:val="669E707D"/>
    <w:rsid w:val="66A72624"/>
    <w:rsid w:val="66CA0BF5"/>
    <w:rsid w:val="66D76F8A"/>
    <w:rsid w:val="66E16111"/>
    <w:rsid w:val="66E81BE1"/>
    <w:rsid w:val="66E845EE"/>
    <w:rsid w:val="66F06CD8"/>
    <w:rsid w:val="66F81DD8"/>
    <w:rsid w:val="6711019E"/>
    <w:rsid w:val="671F5ADA"/>
    <w:rsid w:val="673B3A73"/>
    <w:rsid w:val="67530DBD"/>
    <w:rsid w:val="6759214B"/>
    <w:rsid w:val="677553E5"/>
    <w:rsid w:val="67900263"/>
    <w:rsid w:val="67A61834"/>
    <w:rsid w:val="67B04461"/>
    <w:rsid w:val="67B0620F"/>
    <w:rsid w:val="67B374C4"/>
    <w:rsid w:val="67B52764"/>
    <w:rsid w:val="67B75622"/>
    <w:rsid w:val="67EB36EB"/>
    <w:rsid w:val="67F26828"/>
    <w:rsid w:val="67FB3202"/>
    <w:rsid w:val="67FE0BBC"/>
    <w:rsid w:val="68071BA7"/>
    <w:rsid w:val="680A0F7E"/>
    <w:rsid w:val="680F32C3"/>
    <w:rsid w:val="68104F00"/>
    <w:rsid w:val="68190258"/>
    <w:rsid w:val="682E35D8"/>
    <w:rsid w:val="68310B99"/>
    <w:rsid w:val="68342BAE"/>
    <w:rsid w:val="683E1A6D"/>
    <w:rsid w:val="68437083"/>
    <w:rsid w:val="684A6664"/>
    <w:rsid w:val="68564350"/>
    <w:rsid w:val="68570DF0"/>
    <w:rsid w:val="685F3791"/>
    <w:rsid w:val="686D5EAE"/>
    <w:rsid w:val="688F7E36"/>
    <w:rsid w:val="68950390"/>
    <w:rsid w:val="689E1D43"/>
    <w:rsid w:val="689E6CEC"/>
    <w:rsid w:val="68AE30C5"/>
    <w:rsid w:val="68BA4C16"/>
    <w:rsid w:val="68BC6E36"/>
    <w:rsid w:val="68C006D4"/>
    <w:rsid w:val="68C1269E"/>
    <w:rsid w:val="68DD0195"/>
    <w:rsid w:val="68DE4FFE"/>
    <w:rsid w:val="68E51EE8"/>
    <w:rsid w:val="68E72104"/>
    <w:rsid w:val="68F80B7D"/>
    <w:rsid w:val="69063CCD"/>
    <w:rsid w:val="69107F50"/>
    <w:rsid w:val="69132EFA"/>
    <w:rsid w:val="69190A3A"/>
    <w:rsid w:val="69196036"/>
    <w:rsid w:val="6922313D"/>
    <w:rsid w:val="6941584C"/>
    <w:rsid w:val="694A4441"/>
    <w:rsid w:val="694B1C98"/>
    <w:rsid w:val="694F2F3C"/>
    <w:rsid w:val="695263D9"/>
    <w:rsid w:val="69561038"/>
    <w:rsid w:val="6962178B"/>
    <w:rsid w:val="69694756"/>
    <w:rsid w:val="696C43B8"/>
    <w:rsid w:val="696F3EA8"/>
    <w:rsid w:val="697A596B"/>
    <w:rsid w:val="698906F6"/>
    <w:rsid w:val="69931944"/>
    <w:rsid w:val="699B4C9D"/>
    <w:rsid w:val="69B024A2"/>
    <w:rsid w:val="69B31FE7"/>
    <w:rsid w:val="69C75A92"/>
    <w:rsid w:val="69CF3426"/>
    <w:rsid w:val="69D937B9"/>
    <w:rsid w:val="69E2467A"/>
    <w:rsid w:val="69EA26B3"/>
    <w:rsid w:val="69EE1271"/>
    <w:rsid w:val="6A036897"/>
    <w:rsid w:val="6A1E2FCA"/>
    <w:rsid w:val="6A3248AB"/>
    <w:rsid w:val="6A335EA2"/>
    <w:rsid w:val="6A3F6F7C"/>
    <w:rsid w:val="6A3F7157"/>
    <w:rsid w:val="6A503CD9"/>
    <w:rsid w:val="6A641533"/>
    <w:rsid w:val="6A69722F"/>
    <w:rsid w:val="6A6B466F"/>
    <w:rsid w:val="6A7C687C"/>
    <w:rsid w:val="6A815C41"/>
    <w:rsid w:val="6A826D0C"/>
    <w:rsid w:val="6A85616F"/>
    <w:rsid w:val="6A8868F6"/>
    <w:rsid w:val="6A9A0B2D"/>
    <w:rsid w:val="6A9C6F1F"/>
    <w:rsid w:val="6ABC4ECB"/>
    <w:rsid w:val="6ADD4AB5"/>
    <w:rsid w:val="6AEA1A38"/>
    <w:rsid w:val="6AEF0356"/>
    <w:rsid w:val="6B00125C"/>
    <w:rsid w:val="6B0C1CA8"/>
    <w:rsid w:val="6B1A4EC6"/>
    <w:rsid w:val="6B1D129A"/>
    <w:rsid w:val="6B210408"/>
    <w:rsid w:val="6B226F5C"/>
    <w:rsid w:val="6B240CC8"/>
    <w:rsid w:val="6B243793"/>
    <w:rsid w:val="6B364574"/>
    <w:rsid w:val="6B3D425E"/>
    <w:rsid w:val="6B4300E3"/>
    <w:rsid w:val="6B4B448B"/>
    <w:rsid w:val="6B4D0219"/>
    <w:rsid w:val="6B4D0D73"/>
    <w:rsid w:val="6B6537B4"/>
    <w:rsid w:val="6B6C0E4B"/>
    <w:rsid w:val="6B6C4B43"/>
    <w:rsid w:val="6B6C5DCF"/>
    <w:rsid w:val="6B6F63E1"/>
    <w:rsid w:val="6B792DBC"/>
    <w:rsid w:val="6B826114"/>
    <w:rsid w:val="6B8F21EB"/>
    <w:rsid w:val="6BA0712C"/>
    <w:rsid w:val="6BA936A1"/>
    <w:rsid w:val="6BAA2831"/>
    <w:rsid w:val="6BAD0172"/>
    <w:rsid w:val="6BBA7D25"/>
    <w:rsid w:val="6BC05243"/>
    <w:rsid w:val="6BC2105C"/>
    <w:rsid w:val="6BCC26FE"/>
    <w:rsid w:val="6BCE02D1"/>
    <w:rsid w:val="6BE16F41"/>
    <w:rsid w:val="6C4367F5"/>
    <w:rsid w:val="6C496D2D"/>
    <w:rsid w:val="6C582E40"/>
    <w:rsid w:val="6C5B73FB"/>
    <w:rsid w:val="6C5C6966"/>
    <w:rsid w:val="6C5E0930"/>
    <w:rsid w:val="6C626C45"/>
    <w:rsid w:val="6C6D2921"/>
    <w:rsid w:val="6C895D3F"/>
    <w:rsid w:val="6C997F3B"/>
    <w:rsid w:val="6CA67BE1"/>
    <w:rsid w:val="6CAE2F39"/>
    <w:rsid w:val="6CB51517"/>
    <w:rsid w:val="6CBB1728"/>
    <w:rsid w:val="6CC256BB"/>
    <w:rsid w:val="6CF41B71"/>
    <w:rsid w:val="6CFC5A53"/>
    <w:rsid w:val="6CFF1D2C"/>
    <w:rsid w:val="6D0204A6"/>
    <w:rsid w:val="6D042B59"/>
    <w:rsid w:val="6D056FFD"/>
    <w:rsid w:val="6D0B1BA5"/>
    <w:rsid w:val="6D0F1C2A"/>
    <w:rsid w:val="6D173957"/>
    <w:rsid w:val="6D353FD1"/>
    <w:rsid w:val="6D464F20"/>
    <w:rsid w:val="6D4757D2"/>
    <w:rsid w:val="6D621CE7"/>
    <w:rsid w:val="6D68133A"/>
    <w:rsid w:val="6D6A6564"/>
    <w:rsid w:val="6D920165"/>
    <w:rsid w:val="6D9263B7"/>
    <w:rsid w:val="6D967C55"/>
    <w:rsid w:val="6D9738B6"/>
    <w:rsid w:val="6D9B170F"/>
    <w:rsid w:val="6DA305C4"/>
    <w:rsid w:val="6DB96462"/>
    <w:rsid w:val="6DBB76BC"/>
    <w:rsid w:val="6DC70D7F"/>
    <w:rsid w:val="6DC87AD4"/>
    <w:rsid w:val="6DD36DC0"/>
    <w:rsid w:val="6DDB5FB0"/>
    <w:rsid w:val="6DDE33AA"/>
    <w:rsid w:val="6DE33232"/>
    <w:rsid w:val="6DE43856"/>
    <w:rsid w:val="6DF006BA"/>
    <w:rsid w:val="6DF332FA"/>
    <w:rsid w:val="6DF45256"/>
    <w:rsid w:val="6DF73BB2"/>
    <w:rsid w:val="6E001573"/>
    <w:rsid w:val="6E0A02E2"/>
    <w:rsid w:val="6E0C43BB"/>
    <w:rsid w:val="6E0D1382"/>
    <w:rsid w:val="6E2C1870"/>
    <w:rsid w:val="6E396833"/>
    <w:rsid w:val="6E4759DD"/>
    <w:rsid w:val="6E4E6782"/>
    <w:rsid w:val="6E6E7D28"/>
    <w:rsid w:val="6E716A5C"/>
    <w:rsid w:val="6E772B09"/>
    <w:rsid w:val="6E7A1325"/>
    <w:rsid w:val="6E7A30D3"/>
    <w:rsid w:val="6E7E632C"/>
    <w:rsid w:val="6E865F1C"/>
    <w:rsid w:val="6E9817AB"/>
    <w:rsid w:val="6EC505B9"/>
    <w:rsid w:val="6EEB3FD1"/>
    <w:rsid w:val="6EEF1D13"/>
    <w:rsid w:val="6F180A6D"/>
    <w:rsid w:val="6F192CAA"/>
    <w:rsid w:val="6F305E87"/>
    <w:rsid w:val="6F400AF2"/>
    <w:rsid w:val="6F410095"/>
    <w:rsid w:val="6F5D0A07"/>
    <w:rsid w:val="6F6222D5"/>
    <w:rsid w:val="6F653D83"/>
    <w:rsid w:val="6F675D4D"/>
    <w:rsid w:val="6F6F142D"/>
    <w:rsid w:val="6F7D6A6A"/>
    <w:rsid w:val="6F865AA7"/>
    <w:rsid w:val="6F8661B3"/>
    <w:rsid w:val="6F895138"/>
    <w:rsid w:val="6F9D176F"/>
    <w:rsid w:val="6F9E54E7"/>
    <w:rsid w:val="6FA0300D"/>
    <w:rsid w:val="6FD1766A"/>
    <w:rsid w:val="6FD35007"/>
    <w:rsid w:val="6FE52675"/>
    <w:rsid w:val="6FE52F43"/>
    <w:rsid w:val="6FE80510"/>
    <w:rsid w:val="6FEA072C"/>
    <w:rsid w:val="6FEF31EE"/>
    <w:rsid w:val="6FFD220E"/>
    <w:rsid w:val="6FFF138A"/>
    <w:rsid w:val="70027FD6"/>
    <w:rsid w:val="700D7F77"/>
    <w:rsid w:val="70206DEF"/>
    <w:rsid w:val="7035021F"/>
    <w:rsid w:val="703871A0"/>
    <w:rsid w:val="7042644D"/>
    <w:rsid w:val="70497BDD"/>
    <w:rsid w:val="70561FDB"/>
    <w:rsid w:val="706156A8"/>
    <w:rsid w:val="70673B2B"/>
    <w:rsid w:val="70796867"/>
    <w:rsid w:val="707D0664"/>
    <w:rsid w:val="70812E3F"/>
    <w:rsid w:val="708B7819"/>
    <w:rsid w:val="708C7F32"/>
    <w:rsid w:val="708F162B"/>
    <w:rsid w:val="70952446"/>
    <w:rsid w:val="70A53BED"/>
    <w:rsid w:val="70BA3DEB"/>
    <w:rsid w:val="70CB230C"/>
    <w:rsid w:val="70D460E9"/>
    <w:rsid w:val="70F27898"/>
    <w:rsid w:val="70FA7F4C"/>
    <w:rsid w:val="70FE657C"/>
    <w:rsid w:val="710930DF"/>
    <w:rsid w:val="7113780F"/>
    <w:rsid w:val="71184E25"/>
    <w:rsid w:val="7118679E"/>
    <w:rsid w:val="71200B13"/>
    <w:rsid w:val="71216C2A"/>
    <w:rsid w:val="71220B8A"/>
    <w:rsid w:val="71246E06"/>
    <w:rsid w:val="71295D72"/>
    <w:rsid w:val="712B6A44"/>
    <w:rsid w:val="71336B4F"/>
    <w:rsid w:val="71363776"/>
    <w:rsid w:val="713734FD"/>
    <w:rsid w:val="713A123F"/>
    <w:rsid w:val="713A2FED"/>
    <w:rsid w:val="713D7BBE"/>
    <w:rsid w:val="7144341F"/>
    <w:rsid w:val="7148395C"/>
    <w:rsid w:val="714874B8"/>
    <w:rsid w:val="714931CB"/>
    <w:rsid w:val="714D0D63"/>
    <w:rsid w:val="714D2D21"/>
    <w:rsid w:val="716020ED"/>
    <w:rsid w:val="7166205F"/>
    <w:rsid w:val="716D6F1F"/>
    <w:rsid w:val="71753A0A"/>
    <w:rsid w:val="71783771"/>
    <w:rsid w:val="71792D4B"/>
    <w:rsid w:val="717B788E"/>
    <w:rsid w:val="71970440"/>
    <w:rsid w:val="71A668CF"/>
    <w:rsid w:val="71AE06EF"/>
    <w:rsid w:val="71C945D8"/>
    <w:rsid w:val="71CD20B4"/>
    <w:rsid w:val="71D14DB4"/>
    <w:rsid w:val="71D76A8E"/>
    <w:rsid w:val="71DD5124"/>
    <w:rsid w:val="71E66C33"/>
    <w:rsid w:val="71EA0570"/>
    <w:rsid w:val="71F66C71"/>
    <w:rsid w:val="71F87130"/>
    <w:rsid w:val="71F907B3"/>
    <w:rsid w:val="71F908D7"/>
    <w:rsid w:val="72086C48"/>
    <w:rsid w:val="720A0467"/>
    <w:rsid w:val="721A7837"/>
    <w:rsid w:val="72273572"/>
    <w:rsid w:val="7228200C"/>
    <w:rsid w:val="722930CD"/>
    <w:rsid w:val="7231619E"/>
    <w:rsid w:val="723931EE"/>
    <w:rsid w:val="723D0FE7"/>
    <w:rsid w:val="72587BCF"/>
    <w:rsid w:val="725A3FB0"/>
    <w:rsid w:val="725D3437"/>
    <w:rsid w:val="726E3383"/>
    <w:rsid w:val="72734BFB"/>
    <w:rsid w:val="72735EA6"/>
    <w:rsid w:val="7275122A"/>
    <w:rsid w:val="727C711D"/>
    <w:rsid w:val="72802C82"/>
    <w:rsid w:val="7293369D"/>
    <w:rsid w:val="72952BD1"/>
    <w:rsid w:val="72A526E9"/>
    <w:rsid w:val="72C75EE8"/>
    <w:rsid w:val="72CE1C3F"/>
    <w:rsid w:val="72DE3629"/>
    <w:rsid w:val="72F8601E"/>
    <w:rsid w:val="732B52E4"/>
    <w:rsid w:val="733817AF"/>
    <w:rsid w:val="734D46FF"/>
    <w:rsid w:val="7358775D"/>
    <w:rsid w:val="735917FD"/>
    <w:rsid w:val="735C549D"/>
    <w:rsid w:val="73602932"/>
    <w:rsid w:val="73702CF6"/>
    <w:rsid w:val="737A3B75"/>
    <w:rsid w:val="737C2A4C"/>
    <w:rsid w:val="73830C7C"/>
    <w:rsid w:val="73903399"/>
    <w:rsid w:val="73920EBF"/>
    <w:rsid w:val="73974727"/>
    <w:rsid w:val="739A3FDF"/>
    <w:rsid w:val="739A4A96"/>
    <w:rsid w:val="73A3438C"/>
    <w:rsid w:val="73B40E35"/>
    <w:rsid w:val="73B52DFF"/>
    <w:rsid w:val="73DB4B30"/>
    <w:rsid w:val="73DE25D4"/>
    <w:rsid w:val="73E86D31"/>
    <w:rsid w:val="73F60385"/>
    <w:rsid w:val="7406374F"/>
    <w:rsid w:val="74092E99"/>
    <w:rsid w:val="740A7AB9"/>
    <w:rsid w:val="741B0EB4"/>
    <w:rsid w:val="742F4960"/>
    <w:rsid w:val="74367A9C"/>
    <w:rsid w:val="74372CB0"/>
    <w:rsid w:val="7450478C"/>
    <w:rsid w:val="7452015B"/>
    <w:rsid w:val="74553C84"/>
    <w:rsid w:val="74624F8B"/>
    <w:rsid w:val="7476433D"/>
    <w:rsid w:val="74774D75"/>
    <w:rsid w:val="747D5827"/>
    <w:rsid w:val="74820676"/>
    <w:rsid w:val="74822ED2"/>
    <w:rsid w:val="74861483"/>
    <w:rsid w:val="749401EE"/>
    <w:rsid w:val="74A878F0"/>
    <w:rsid w:val="74B82BA7"/>
    <w:rsid w:val="74D72EF3"/>
    <w:rsid w:val="74F17E67"/>
    <w:rsid w:val="7505626D"/>
    <w:rsid w:val="751D4E5F"/>
    <w:rsid w:val="75211DE3"/>
    <w:rsid w:val="752A6815"/>
    <w:rsid w:val="7531347A"/>
    <w:rsid w:val="753B6854"/>
    <w:rsid w:val="7544683B"/>
    <w:rsid w:val="754E422D"/>
    <w:rsid w:val="75695C4F"/>
    <w:rsid w:val="756A1062"/>
    <w:rsid w:val="756B7C19"/>
    <w:rsid w:val="757E33E6"/>
    <w:rsid w:val="7585367E"/>
    <w:rsid w:val="75976C60"/>
    <w:rsid w:val="75AD0232"/>
    <w:rsid w:val="75BA443F"/>
    <w:rsid w:val="75BB6151"/>
    <w:rsid w:val="75C80BC8"/>
    <w:rsid w:val="75CA2B92"/>
    <w:rsid w:val="75D30DA5"/>
    <w:rsid w:val="75D57A43"/>
    <w:rsid w:val="75E43528"/>
    <w:rsid w:val="75ED313E"/>
    <w:rsid w:val="75F2079C"/>
    <w:rsid w:val="75FD6C16"/>
    <w:rsid w:val="760119DA"/>
    <w:rsid w:val="760342F6"/>
    <w:rsid w:val="760B4F58"/>
    <w:rsid w:val="7624324F"/>
    <w:rsid w:val="7648793D"/>
    <w:rsid w:val="76562678"/>
    <w:rsid w:val="76654669"/>
    <w:rsid w:val="76740D50"/>
    <w:rsid w:val="767B3E8C"/>
    <w:rsid w:val="7682346D"/>
    <w:rsid w:val="76A72ED3"/>
    <w:rsid w:val="76AE4262"/>
    <w:rsid w:val="76AF5139"/>
    <w:rsid w:val="76B61368"/>
    <w:rsid w:val="76CA4592"/>
    <w:rsid w:val="76CD4DBA"/>
    <w:rsid w:val="76D87530"/>
    <w:rsid w:val="76E03FFD"/>
    <w:rsid w:val="76ED5AD9"/>
    <w:rsid w:val="76F12774"/>
    <w:rsid w:val="77007700"/>
    <w:rsid w:val="77161E07"/>
    <w:rsid w:val="771B11CB"/>
    <w:rsid w:val="772F05CC"/>
    <w:rsid w:val="7732522C"/>
    <w:rsid w:val="773708DC"/>
    <w:rsid w:val="77400C32"/>
    <w:rsid w:val="77522BDA"/>
    <w:rsid w:val="77534E09"/>
    <w:rsid w:val="77536991"/>
    <w:rsid w:val="77560455"/>
    <w:rsid w:val="775748F9"/>
    <w:rsid w:val="776721AA"/>
    <w:rsid w:val="77731007"/>
    <w:rsid w:val="77737259"/>
    <w:rsid w:val="778130E9"/>
    <w:rsid w:val="778D033F"/>
    <w:rsid w:val="779F1DFC"/>
    <w:rsid w:val="77A66FA4"/>
    <w:rsid w:val="77AC715F"/>
    <w:rsid w:val="77C655DB"/>
    <w:rsid w:val="77C8090F"/>
    <w:rsid w:val="77D05F62"/>
    <w:rsid w:val="77D67B46"/>
    <w:rsid w:val="77E230FE"/>
    <w:rsid w:val="77E65C7D"/>
    <w:rsid w:val="780E6699"/>
    <w:rsid w:val="78161684"/>
    <w:rsid w:val="781D1C7F"/>
    <w:rsid w:val="783562BD"/>
    <w:rsid w:val="783C589D"/>
    <w:rsid w:val="783E26E3"/>
    <w:rsid w:val="78436AC1"/>
    <w:rsid w:val="7847671C"/>
    <w:rsid w:val="78476810"/>
    <w:rsid w:val="787061F4"/>
    <w:rsid w:val="78734760"/>
    <w:rsid w:val="787540FA"/>
    <w:rsid w:val="787E0B50"/>
    <w:rsid w:val="7899684C"/>
    <w:rsid w:val="78A551F0"/>
    <w:rsid w:val="78A96B01"/>
    <w:rsid w:val="78AC2A23"/>
    <w:rsid w:val="78AD0B5A"/>
    <w:rsid w:val="78B07870"/>
    <w:rsid w:val="78B35B5F"/>
    <w:rsid w:val="78BB2C66"/>
    <w:rsid w:val="78BF603A"/>
    <w:rsid w:val="78C51351"/>
    <w:rsid w:val="78C7160B"/>
    <w:rsid w:val="78C97879"/>
    <w:rsid w:val="78CC38A2"/>
    <w:rsid w:val="78D21D5D"/>
    <w:rsid w:val="78D40B87"/>
    <w:rsid w:val="78D74515"/>
    <w:rsid w:val="78D9133E"/>
    <w:rsid w:val="78DB6E64"/>
    <w:rsid w:val="78DD498A"/>
    <w:rsid w:val="78E57CE3"/>
    <w:rsid w:val="78F534B2"/>
    <w:rsid w:val="79156AA7"/>
    <w:rsid w:val="79164340"/>
    <w:rsid w:val="792A5301"/>
    <w:rsid w:val="793A002E"/>
    <w:rsid w:val="79416420"/>
    <w:rsid w:val="79501600"/>
    <w:rsid w:val="79554E68"/>
    <w:rsid w:val="7956493E"/>
    <w:rsid w:val="795C61F7"/>
    <w:rsid w:val="796B643A"/>
    <w:rsid w:val="796E1A86"/>
    <w:rsid w:val="797D4121"/>
    <w:rsid w:val="797E11A6"/>
    <w:rsid w:val="798017B9"/>
    <w:rsid w:val="79940D02"/>
    <w:rsid w:val="799C4845"/>
    <w:rsid w:val="799D05BD"/>
    <w:rsid w:val="799D236B"/>
    <w:rsid w:val="79A33E26"/>
    <w:rsid w:val="79AE4579"/>
    <w:rsid w:val="79AE5A88"/>
    <w:rsid w:val="79B3393D"/>
    <w:rsid w:val="79B50780"/>
    <w:rsid w:val="79FE7C54"/>
    <w:rsid w:val="7A07062C"/>
    <w:rsid w:val="7A1C7585"/>
    <w:rsid w:val="7A1E34AC"/>
    <w:rsid w:val="7A1F2F69"/>
    <w:rsid w:val="7A2E43AE"/>
    <w:rsid w:val="7A2E7E37"/>
    <w:rsid w:val="7A324281"/>
    <w:rsid w:val="7A3727C0"/>
    <w:rsid w:val="7A3B22B0"/>
    <w:rsid w:val="7A41719B"/>
    <w:rsid w:val="7A471799"/>
    <w:rsid w:val="7A4A4443"/>
    <w:rsid w:val="7A5275FA"/>
    <w:rsid w:val="7A57268E"/>
    <w:rsid w:val="7A6B246A"/>
    <w:rsid w:val="7A6F5AB6"/>
    <w:rsid w:val="7A802D36"/>
    <w:rsid w:val="7A910122"/>
    <w:rsid w:val="7A9D188A"/>
    <w:rsid w:val="7ACC4F5F"/>
    <w:rsid w:val="7AD718AD"/>
    <w:rsid w:val="7ADB0CA1"/>
    <w:rsid w:val="7ADB314B"/>
    <w:rsid w:val="7AEB5683"/>
    <w:rsid w:val="7AF5556B"/>
    <w:rsid w:val="7B0408F4"/>
    <w:rsid w:val="7B0C59FB"/>
    <w:rsid w:val="7B0F54EB"/>
    <w:rsid w:val="7B1B3C2F"/>
    <w:rsid w:val="7B234AF2"/>
    <w:rsid w:val="7B3A6F53"/>
    <w:rsid w:val="7B430CF1"/>
    <w:rsid w:val="7B5A6766"/>
    <w:rsid w:val="7B5D4985"/>
    <w:rsid w:val="7B6018A2"/>
    <w:rsid w:val="7B6707E2"/>
    <w:rsid w:val="7B6C6499"/>
    <w:rsid w:val="7B705F89"/>
    <w:rsid w:val="7B74267B"/>
    <w:rsid w:val="7B7D7754"/>
    <w:rsid w:val="7B8B7FD7"/>
    <w:rsid w:val="7B9E207A"/>
    <w:rsid w:val="7BA357BB"/>
    <w:rsid w:val="7BAA1EAE"/>
    <w:rsid w:val="7BB10B05"/>
    <w:rsid w:val="7BB51BEE"/>
    <w:rsid w:val="7BBC2F7D"/>
    <w:rsid w:val="7BE451FE"/>
    <w:rsid w:val="7BE97AEA"/>
    <w:rsid w:val="7BED2287"/>
    <w:rsid w:val="7BF36B62"/>
    <w:rsid w:val="7BFA0295"/>
    <w:rsid w:val="7BFA04C7"/>
    <w:rsid w:val="7C016BE2"/>
    <w:rsid w:val="7C093CE8"/>
    <w:rsid w:val="7C1745DC"/>
    <w:rsid w:val="7C3E1BE4"/>
    <w:rsid w:val="7C41666A"/>
    <w:rsid w:val="7C4B5743"/>
    <w:rsid w:val="7C505D05"/>
    <w:rsid w:val="7C5843B5"/>
    <w:rsid w:val="7C6418B3"/>
    <w:rsid w:val="7C674B3E"/>
    <w:rsid w:val="7C7B2E38"/>
    <w:rsid w:val="7C8056BE"/>
    <w:rsid w:val="7C8D2B6B"/>
    <w:rsid w:val="7C9A0299"/>
    <w:rsid w:val="7CCD2078"/>
    <w:rsid w:val="7CD12D75"/>
    <w:rsid w:val="7CDE33C7"/>
    <w:rsid w:val="7CE45D9E"/>
    <w:rsid w:val="7CEA3B1A"/>
    <w:rsid w:val="7CEC5AE4"/>
    <w:rsid w:val="7CEF7382"/>
    <w:rsid w:val="7D017396"/>
    <w:rsid w:val="7D041015"/>
    <w:rsid w:val="7D20753B"/>
    <w:rsid w:val="7D364FB1"/>
    <w:rsid w:val="7D41629A"/>
    <w:rsid w:val="7D4C265B"/>
    <w:rsid w:val="7D4E22FA"/>
    <w:rsid w:val="7D4F34E3"/>
    <w:rsid w:val="7D5B0001"/>
    <w:rsid w:val="7D6733BC"/>
    <w:rsid w:val="7D7B6E68"/>
    <w:rsid w:val="7D81183E"/>
    <w:rsid w:val="7D813913"/>
    <w:rsid w:val="7D8C2E23"/>
    <w:rsid w:val="7D8F646F"/>
    <w:rsid w:val="7D902B14"/>
    <w:rsid w:val="7D9677FD"/>
    <w:rsid w:val="7D9B7734"/>
    <w:rsid w:val="7D9F66B2"/>
    <w:rsid w:val="7D9F6F88"/>
    <w:rsid w:val="7DAE04B8"/>
    <w:rsid w:val="7DAF13CC"/>
    <w:rsid w:val="7DB3085C"/>
    <w:rsid w:val="7DB525A4"/>
    <w:rsid w:val="7DBC274F"/>
    <w:rsid w:val="7DC900B8"/>
    <w:rsid w:val="7DCB56F9"/>
    <w:rsid w:val="7DDA3B8E"/>
    <w:rsid w:val="7DE40003"/>
    <w:rsid w:val="7DE411D8"/>
    <w:rsid w:val="7DE93DD1"/>
    <w:rsid w:val="7DF033B2"/>
    <w:rsid w:val="7DF2712A"/>
    <w:rsid w:val="7DF369FE"/>
    <w:rsid w:val="7DFD2061"/>
    <w:rsid w:val="7DFD787D"/>
    <w:rsid w:val="7E046CFB"/>
    <w:rsid w:val="7E135BDF"/>
    <w:rsid w:val="7E192908"/>
    <w:rsid w:val="7E1A21DD"/>
    <w:rsid w:val="7E2573F4"/>
    <w:rsid w:val="7E374B3D"/>
    <w:rsid w:val="7E551467"/>
    <w:rsid w:val="7E8B7001"/>
    <w:rsid w:val="7EA15A77"/>
    <w:rsid w:val="7EAD0642"/>
    <w:rsid w:val="7EB01C87"/>
    <w:rsid w:val="7EB91A60"/>
    <w:rsid w:val="7EC108AA"/>
    <w:rsid w:val="7EC42148"/>
    <w:rsid w:val="7ECF1219"/>
    <w:rsid w:val="7ECF2A49"/>
    <w:rsid w:val="7ED24865"/>
    <w:rsid w:val="7EDC1571"/>
    <w:rsid w:val="7EE50A3C"/>
    <w:rsid w:val="7EF01855"/>
    <w:rsid w:val="7F016EF9"/>
    <w:rsid w:val="7F054C3B"/>
    <w:rsid w:val="7F0B26EB"/>
    <w:rsid w:val="7F0C42CC"/>
    <w:rsid w:val="7F1906E6"/>
    <w:rsid w:val="7F1B26B0"/>
    <w:rsid w:val="7F2350C1"/>
    <w:rsid w:val="7F314A7F"/>
    <w:rsid w:val="7F3E639F"/>
    <w:rsid w:val="7F556BCB"/>
    <w:rsid w:val="7F594F87"/>
    <w:rsid w:val="7F5F3A42"/>
    <w:rsid w:val="7F6227C1"/>
    <w:rsid w:val="7F6A33D7"/>
    <w:rsid w:val="7F781E1F"/>
    <w:rsid w:val="7F802513"/>
    <w:rsid w:val="7F875A17"/>
    <w:rsid w:val="7F8B6C20"/>
    <w:rsid w:val="7F945FBF"/>
    <w:rsid w:val="7F986425"/>
    <w:rsid w:val="7FAA0986"/>
    <w:rsid w:val="7FAF2DF8"/>
    <w:rsid w:val="7FB87EFF"/>
    <w:rsid w:val="7FBF303C"/>
    <w:rsid w:val="7FC12D31"/>
    <w:rsid w:val="7FC87885"/>
    <w:rsid w:val="7FD726D8"/>
    <w:rsid w:val="7FDA5165"/>
    <w:rsid w:val="7FEC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nhideWhenUsed="0" w:uiPriority="99"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link w:val="49"/>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92"/>
    <w:autoRedefine/>
    <w:qFormat/>
    <w:locked/>
    <w:uiPriority w:val="9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0"/>
    <w:autoRedefine/>
    <w:qFormat/>
    <w:uiPriority w:val="99"/>
    <w:pPr>
      <w:keepNext/>
      <w:keepLines/>
      <w:spacing w:line="360" w:lineRule="auto"/>
      <w:outlineLvl w:val="2"/>
    </w:pPr>
    <w:rPr>
      <w:b/>
      <w:bCs/>
      <w:kern w:val="0"/>
      <w:sz w:val="32"/>
      <w:szCs w:val="32"/>
    </w:rPr>
  </w:style>
  <w:style w:type="paragraph" w:styleId="5">
    <w:name w:val="heading 4"/>
    <w:basedOn w:val="1"/>
    <w:next w:val="1"/>
    <w:link w:val="51"/>
    <w:autoRedefine/>
    <w:qFormat/>
    <w:locked/>
    <w:uiPriority w:val="99"/>
    <w:pPr>
      <w:keepNext/>
      <w:keepLines/>
      <w:spacing w:before="280" w:after="290" w:line="376" w:lineRule="auto"/>
      <w:outlineLvl w:val="3"/>
    </w:pPr>
    <w:rPr>
      <w:rFonts w:ascii="Cambria" w:hAnsi="Cambria"/>
      <w:b/>
      <w:bCs/>
      <w:sz w:val="28"/>
      <w:szCs w:val="28"/>
    </w:rPr>
  </w:style>
  <w:style w:type="paragraph" w:styleId="6">
    <w:name w:val="heading 6"/>
    <w:basedOn w:val="1"/>
    <w:next w:val="1"/>
    <w:autoRedefine/>
    <w:qFormat/>
    <w:locked/>
    <w:uiPriority w:val="0"/>
    <w:pPr>
      <w:keepNext/>
      <w:keepLines/>
      <w:widowControl/>
      <w:kinsoku w:val="0"/>
      <w:autoSpaceDE w:val="0"/>
      <w:autoSpaceDN w:val="0"/>
      <w:adjustRightInd w:val="0"/>
      <w:snapToGrid w:val="0"/>
      <w:spacing w:before="240" w:after="64" w:line="317" w:lineRule="auto"/>
      <w:jc w:val="left"/>
      <w:textAlignment w:val="baseline"/>
      <w:outlineLvl w:val="5"/>
    </w:pPr>
    <w:rPr>
      <w:rFonts w:ascii="Arial" w:hAnsi="Arial" w:eastAsia="黑体"/>
      <w:b/>
      <w:snapToGrid w:val="0"/>
      <w:color w:val="000000"/>
      <w:kern w:val="0"/>
      <w:sz w:val="24"/>
      <w:szCs w:val="21"/>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locked/>
    <w:uiPriority w:val="0"/>
    <w:pPr>
      <w:spacing w:line="440" w:lineRule="atLeast"/>
      <w:ind w:left="2520" w:leftChars="1200" w:firstLine="200" w:firstLineChars="200"/>
    </w:pPr>
    <w:rPr>
      <w:rFonts w:ascii="Times New Roman" w:hAnsi="Times New Roman"/>
    </w:rPr>
  </w:style>
  <w:style w:type="paragraph" w:styleId="8">
    <w:name w:val="Normal Indent"/>
    <w:basedOn w:val="1"/>
    <w:autoRedefine/>
    <w:qFormat/>
    <w:uiPriority w:val="0"/>
    <w:pPr>
      <w:adjustRightInd w:val="0"/>
      <w:spacing w:line="360" w:lineRule="atLeast"/>
      <w:ind w:firstLine="420" w:firstLineChars="200"/>
      <w:jc w:val="left"/>
      <w:textAlignment w:val="baseline"/>
    </w:pPr>
    <w:rPr>
      <w:kern w:val="0"/>
      <w:sz w:val="24"/>
      <w:szCs w:val="20"/>
    </w:rPr>
  </w:style>
  <w:style w:type="paragraph" w:styleId="9">
    <w:name w:val="annotation text"/>
    <w:basedOn w:val="1"/>
    <w:autoRedefine/>
    <w:semiHidden/>
    <w:qFormat/>
    <w:uiPriority w:val="0"/>
    <w:pPr>
      <w:jc w:val="left"/>
    </w:pPr>
  </w:style>
  <w:style w:type="paragraph" w:styleId="10">
    <w:name w:val="Body Text"/>
    <w:basedOn w:val="1"/>
    <w:next w:val="11"/>
    <w:autoRedefine/>
    <w:qFormat/>
    <w:uiPriority w:val="0"/>
    <w:pPr>
      <w:spacing w:after="120" w:line="440" w:lineRule="atLeast"/>
      <w:ind w:firstLine="200" w:firstLineChars="200"/>
    </w:pPr>
    <w:rPr>
      <w:rFonts w:ascii="Times New Roman" w:hAnsi="Times New Roman"/>
    </w:rPr>
  </w:style>
  <w:style w:type="paragraph" w:styleId="11">
    <w:name w:val="Body Text 2"/>
    <w:basedOn w:val="1"/>
    <w:next w:val="10"/>
    <w:link w:val="52"/>
    <w:autoRedefine/>
    <w:qFormat/>
    <w:uiPriority w:val="99"/>
    <w:pPr>
      <w:spacing w:after="120" w:line="480" w:lineRule="auto"/>
    </w:pPr>
    <w:rPr>
      <w:rFonts w:ascii="Times New Roman" w:hAnsi="Times New Roman"/>
      <w:kern w:val="0"/>
      <w:sz w:val="24"/>
    </w:rPr>
  </w:style>
  <w:style w:type="paragraph" w:styleId="12">
    <w:name w:val="Body Text Indent"/>
    <w:basedOn w:val="1"/>
    <w:next w:val="13"/>
    <w:link w:val="53"/>
    <w:autoRedefine/>
    <w:unhideWhenUsed/>
    <w:qFormat/>
    <w:uiPriority w:val="99"/>
    <w:pPr>
      <w:spacing w:after="120"/>
      <w:ind w:left="420" w:leftChars="200"/>
    </w:pPr>
  </w:style>
  <w:style w:type="paragraph" w:styleId="13">
    <w:name w:val="envelope return"/>
    <w:basedOn w:val="1"/>
    <w:autoRedefine/>
    <w:qFormat/>
    <w:uiPriority w:val="99"/>
    <w:pPr>
      <w:snapToGrid w:val="0"/>
    </w:pPr>
    <w:rPr>
      <w:rFonts w:ascii="Arial" w:hAnsi="Arial" w:cs="Arial"/>
    </w:rPr>
  </w:style>
  <w:style w:type="paragraph" w:styleId="14">
    <w:name w:val="List 2"/>
    <w:basedOn w:val="1"/>
    <w:qFormat/>
    <w:uiPriority w:val="0"/>
    <w:pPr>
      <w:ind w:left="100" w:leftChars="200" w:hanging="200" w:hangingChars="200"/>
    </w:pPr>
    <w:rPr>
      <w:rFonts w:ascii="Calibri" w:hAnsi="Calibri" w:eastAsia="宋体" w:cs="Times New Roman"/>
    </w:rPr>
  </w:style>
  <w:style w:type="paragraph" w:styleId="15">
    <w:name w:val="toc 3"/>
    <w:basedOn w:val="1"/>
    <w:next w:val="1"/>
    <w:autoRedefine/>
    <w:qFormat/>
    <w:locked/>
    <w:uiPriority w:val="39"/>
    <w:pPr>
      <w:ind w:left="840" w:leftChars="400"/>
    </w:pPr>
  </w:style>
  <w:style w:type="paragraph" w:styleId="16">
    <w:name w:val="Plain Text"/>
    <w:basedOn w:val="1"/>
    <w:link w:val="54"/>
    <w:autoRedefine/>
    <w:qFormat/>
    <w:uiPriority w:val="99"/>
    <w:rPr>
      <w:rFonts w:ascii="宋体" w:hAnsi="Courier New"/>
      <w:szCs w:val="21"/>
    </w:rPr>
  </w:style>
  <w:style w:type="paragraph" w:styleId="17">
    <w:name w:val="Body Text Indent 2"/>
    <w:basedOn w:val="1"/>
    <w:autoRedefine/>
    <w:qFormat/>
    <w:uiPriority w:val="0"/>
    <w:pPr>
      <w:adjustRightInd w:val="0"/>
      <w:snapToGrid w:val="0"/>
      <w:spacing w:line="420" w:lineRule="auto"/>
      <w:ind w:firstLine="577"/>
      <w:textAlignment w:val="baseline"/>
    </w:pPr>
    <w:rPr>
      <w:spacing w:val="4"/>
      <w:kern w:val="0"/>
      <w:sz w:val="28"/>
      <w:szCs w:val="20"/>
    </w:rPr>
  </w:style>
  <w:style w:type="paragraph" w:styleId="18">
    <w:name w:val="Balloon Text"/>
    <w:basedOn w:val="1"/>
    <w:link w:val="55"/>
    <w:autoRedefine/>
    <w:unhideWhenUsed/>
    <w:qFormat/>
    <w:uiPriority w:val="99"/>
    <w:rPr>
      <w:sz w:val="18"/>
      <w:szCs w:val="18"/>
    </w:rPr>
  </w:style>
  <w:style w:type="paragraph" w:styleId="19">
    <w:name w:val="footer"/>
    <w:basedOn w:val="1"/>
    <w:link w:val="56"/>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5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autoRedefine/>
    <w:qFormat/>
    <w:uiPriority w:val="39"/>
  </w:style>
  <w:style w:type="paragraph" w:styleId="22">
    <w:name w:val="toc 2"/>
    <w:basedOn w:val="1"/>
    <w:next w:val="1"/>
    <w:autoRedefine/>
    <w:qFormat/>
    <w:locked/>
    <w:uiPriority w:val="39"/>
    <w:pPr>
      <w:ind w:left="420" w:leftChars="200"/>
    </w:p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autoRedefine/>
    <w:qFormat/>
    <w:locked/>
    <w:uiPriority w:val="0"/>
    <w:pPr>
      <w:spacing w:before="240" w:after="60"/>
      <w:jc w:val="center"/>
      <w:outlineLvl w:val="0"/>
    </w:pPr>
    <w:rPr>
      <w:rFonts w:ascii="Arial" w:hAnsi="Arial" w:cs="Arial"/>
      <w:b/>
      <w:bCs/>
      <w:sz w:val="32"/>
      <w:szCs w:val="32"/>
    </w:rPr>
  </w:style>
  <w:style w:type="paragraph" w:styleId="25">
    <w:name w:val="annotation subject"/>
    <w:basedOn w:val="9"/>
    <w:next w:val="1"/>
    <w:autoRedefine/>
    <w:qFormat/>
    <w:uiPriority w:val="0"/>
    <w:rPr>
      <w:b/>
      <w:bCs/>
    </w:rPr>
  </w:style>
  <w:style w:type="paragraph" w:styleId="26">
    <w:name w:val="Body Text First Indent"/>
    <w:basedOn w:val="10"/>
    <w:next w:val="27"/>
    <w:autoRedefine/>
    <w:qFormat/>
    <w:uiPriority w:val="0"/>
    <w:pPr>
      <w:ind w:firstLine="420" w:firstLineChars="100"/>
    </w:pPr>
  </w:style>
  <w:style w:type="paragraph" w:styleId="27">
    <w:name w:val="Body Text First Indent 2"/>
    <w:basedOn w:val="12"/>
    <w:next w:val="8"/>
    <w:autoRedefine/>
    <w:qFormat/>
    <w:uiPriority w:val="0"/>
    <w:pPr>
      <w:ind w:firstLine="420" w:firstLineChars="200"/>
    </w:pPr>
  </w:style>
  <w:style w:type="table" w:styleId="29">
    <w:name w:val="Table Grid"/>
    <w:basedOn w:val="28"/>
    <w:autoRedefine/>
    <w:qFormat/>
    <w:locked/>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basedOn w:val="30"/>
    <w:autoRedefine/>
    <w:qFormat/>
    <w:locked/>
    <w:uiPriority w:val="0"/>
  </w:style>
  <w:style w:type="character" w:styleId="32">
    <w:name w:val="FollowedHyperlink"/>
    <w:autoRedefine/>
    <w:unhideWhenUsed/>
    <w:qFormat/>
    <w:uiPriority w:val="99"/>
    <w:rPr>
      <w:color w:val="333333"/>
      <w:u w:val="none"/>
    </w:rPr>
  </w:style>
  <w:style w:type="character" w:styleId="33">
    <w:name w:val="Emphasis"/>
    <w:basedOn w:val="30"/>
    <w:autoRedefine/>
    <w:qFormat/>
    <w:locked/>
    <w:uiPriority w:val="0"/>
  </w:style>
  <w:style w:type="character" w:styleId="34">
    <w:name w:val="HTML Definition"/>
    <w:basedOn w:val="30"/>
    <w:autoRedefine/>
    <w:unhideWhenUsed/>
    <w:qFormat/>
    <w:uiPriority w:val="99"/>
  </w:style>
  <w:style w:type="character" w:styleId="35">
    <w:name w:val="HTML Typewriter"/>
    <w:autoRedefine/>
    <w:unhideWhenUsed/>
    <w:qFormat/>
    <w:uiPriority w:val="99"/>
    <w:rPr>
      <w:rFonts w:hint="default" w:ascii="monospace" w:hAnsi="monospace" w:eastAsia="monospace" w:cs="monospace"/>
      <w:sz w:val="20"/>
    </w:rPr>
  </w:style>
  <w:style w:type="character" w:styleId="36">
    <w:name w:val="HTML Acronym"/>
    <w:basedOn w:val="30"/>
    <w:autoRedefine/>
    <w:unhideWhenUsed/>
    <w:qFormat/>
    <w:uiPriority w:val="99"/>
  </w:style>
  <w:style w:type="character" w:styleId="37">
    <w:name w:val="HTML Variable"/>
    <w:basedOn w:val="30"/>
    <w:autoRedefine/>
    <w:unhideWhenUsed/>
    <w:qFormat/>
    <w:uiPriority w:val="99"/>
  </w:style>
  <w:style w:type="character" w:styleId="38">
    <w:name w:val="Hyperlink"/>
    <w:autoRedefine/>
    <w:qFormat/>
    <w:uiPriority w:val="99"/>
    <w:rPr>
      <w:rFonts w:cs="Times New Roman"/>
      <w:color w:val="0000FF"/>
      <w:u w:val="single"/>
    </w:rPr>
  </w:style>
  <w:style w:type="character" w:styleId="39">
    <w:name w:val="HTML Code"/>
    <w:autoRedefine/>
    <w:unhideWhenUsed/>
    <w:qFormat/>
    <w:uiPriority w:val="99"/>
    <w:rPr>
      <w:rFonts w:hint="default" w:ascii="monospace" w:hAnsi="monospace" w:eastAsia="monospace" w:cs="monospace"/>
      <w:sz w:val="20"/>
    </w:rPr>
  </w:style>
  <w:style w:type="character" w:styleId="40">
    <w:name w:val="annotation reference"/>
    <w:basedOn w:val="30"/>
    <w:autoRedefine/>
    <w:semiHidden/>
    <w:unhideWhenUsed/>
    <w:qFormat/>
    <w:uiPriority w:val="99"/>
    <w:rPr>
      <w:sz w:val="21"/>
      <w:szCs w:val="21"/>
    </w:rPr>
  </w:style>
  <w:style w:type="character" w:styleId="41">
    <w:name w:val="HTML Cite"/>
    <w:basedOn w:val="30"/>
    <w:autoRedefine/>
    <w:unhideWhenUsed/>
    <w:qFormat/>
    <w:uiPriority w:val="99"/>
  </w:style>
  <w:style w:type="character" w:styleId="42">
    <w:name w:val="HTML Keyboard"/>
    <w:autoRedefine/>
    <w:unhideWhenUsed/>
    <w:qFormat/>
    <w:uiPriority w:val="99"/>
    <w:rPr>
      <w:rFonts w:ascii="monospace" w:hAnsi="monospace" w:eastAsia="monospace" w:cs="monospace"/>
      <w:sz w:val="20"/>
    </w:rPr>
  </w:style>
  <w:style w:type="character" w:styleId="43">
    <w:name w:val="HTML Sample"/>
    <w:autoRedefine/>
    <w:unhideWhenUsed/>
    <w:qFormat/>
    <w:uiPriority w:val="99"/>
    <w:rPr>
      <w:rFonts w:hint="default" w:ascii="monospace" w:hAnsi="monospace" w:eastAsia="monospace" w:cs="monospace"/>
    </w:rPr>
  </w:style>
  <w:style w:type="paragraph" w:customStyle="1" w:styleId="44">
    <w:name w:val="正文文本 21"/>
    <w:basedOn w:val="1"/>
    <w:autoRedefine/>
    <w:qFormat/>
    <w:uiPriority w:val="0"/>
    <w:pPr>
      <w:spacing w:after="120" w:line="480" w:lineRule="auto"/>
    </w:pPr>
  </w:style>
  <w:style w:type="paragraph" w:customStyle="1" w:styleId="45">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列出段落1"/>
    <w:basedOn w:val="1"/>
    <w:autoRedefine/>
    <w:qFormat/>
    <w:uiPriority w:val="34"/>
    <w:rPr>
      <w:rFonts w:ascii="宋体" w:hAnsi="宋体"/>
      <w:color w:val="0070C0"/>
      <w:szCs w:val="21"/>
    </w:rPr>
  </w:style>
  <w:style w:type="paragraph" w:customStyle="1" w:styleId="47">
    <w:name w:val="表格文字"/>
    <w:basedOn w:val="1"/>
    <w:next w:val="10"/>
    <w:autoRedefine/>
    <w:qFormat/>
    <w:uiPriority w:val="0"/>
    <w:pPr>
      <w:framePr w:hSpace="180" w:wrap="around" w:vAnchor="text" w:hAnchor="page" w:xAlign="center" w:y="25"/>
      <w:suppressOverlap/>
      <w:spacing w:line="420" w:lineRule="atLeast"/>
    </w:pPr>
    <w:rPr>
      <w:sz w:val="18"/>
      <w:szCs w:val="18"/>
    </w:rPr>
  </w:style>
  <w:style w:type="paragraph" w:customStyle="1" w:styleId="48">
    <w:name w:val="无间隔1"/>
    <w:basedOn w:val="1"/>
    <w:autoRedefine/>
    <w:qFormat/>
    <w:uiPriority w:val="0"/>
    <w:pPr>
      <w:spacing w:line="400" w:lineRule="exact"/>
    </w:pPr>
    <w:rPr>
      <w:sz w:val="24"/>
    </w:rPr>
  </w:style>
  <w:style w:type="character" w:customStyle="1" w:styleId="49">
    <w:name w:val="标题 1 字符"/>
    <w:link w:val="2"/>
    <w:autoRedefine/>
    <w:qFormat/>
    <w:uiPriority w:val="0"/>
    <w:rPr>
      <w:rFonts w:ascii="Book Antiqua" w:hAnsi="Book Antiqua"/>
      <w:b/>
      <w:bCs/>
      <w:kern w:val="44"/>
      <w:sz w:val="44"/>
      <w:szCs w:val="44"/>
    </w:rPr>
  </w:style>
  <w:style w:type="character" w:customStyle="1" w:styleId="50">
    <w:name w:val="标题 3 字符"/>
    <w:link w:val="4"/>
    <w:autoRedefine/>
    <w:qFormat/>
    <w:locked/>
    <w:uiPriority w:val="99"/>
    <w:rPr>
      <w:rFonts w:ascii="Book Antiqua" w:hAnsi="Book Antiqua" w:eastAsia="宋体" w:cs="Times New Roman"/>
      <w:b/>
      <w:bCs/>
      <w:sz w:val="32"/>
      <w:szCs w:val="32"/>
    </w:rPr>
  </w:style>
  <w:style w:type="character" w:customStyle="1" w:styleId="51">
    <w:name w:val="标题 4 字符"/>
    <w:link w:val="5"/>
    <w:autoRedefine/>
    <w:semiHidden/>
    <w:qFormat/>
    <w:locked/>
    <w:uiPriority w:val="99"/>
    <w:rPr>
      <w:rFonts w:ascii="Cambria" w:hAnsi="Cambria" w:eastAsia="宋体" w:cs="Times New Roman"/>
      <w:b/>
      <w:bCs/>
      <w:kern w:val="2"/>
      <w:sz w:val="28"/>
      <w:szCs w:val="28"/>
    </w:rPr>
  </w:style>
  <w:style w:type="character" w:customStyle="1" w:styleId="52">
    <w:name w:val="正文文本 2 字符"/>
    <w:link w:val="11"/>
    <w:autoRedefine/>
    <w:qFormat/>
    <w:locked/>
    <w:uiPriority w:val="99"/>
    <w:rPr>
      <w:rFonts w:ascii="Times New Roman" w:hAnsi="Times New Roman" w:eastAsia="宋体" w:cs="Times New Roman"/>
      <w:sz w:val="24"/>
      <w:szCs w:val="24"/>
    </w:rPr>
  </w:style>
  <w:style w:type="character" w:customStyle="1" w:styleId="53">
    <w:name w:val="正文文本缩进 字符"/>
    <w:link w:val="12"/>
    <w:autoRedefine/>
    <w:semiHidden/>
    <w:qFormat/>
    <w:uiPriority w:val="99"/>
    <w:rPr>
      <w:rFonts w:ascii="Book Antiqua" w:hAnsi="Book Antiqua"/>
      <w:kern w:val="2"/>
      <w:sz w:val="21"/>
      <w:szCs w:val="24"/>
    </w:rPr>
  </w:style>
  <w:style w:type="character" w:customStyle="1" w:styleId="54">
    <w:name w:val="纯文本 字符"/>
    <w:link w:val="16"/>
    <w:autoRedefine/>
    <w:semiHidden/>
    <w:qFormat/>
    <w:uiPriority w:val="99"/>
    <w:rPr>
      <w:rFonts w:ascii="宋体" w:hAnsi="Courier New" w:cs="Courier New"/>
      <w:kern w:val="2"/>
      <w:sz w:val="21"/>
      <w:szCs w:val="21"/>
    </w:rPr>
  </w:style>
  <w:style w:type="character" w:customStyle="1" w:styleId="55">
    <w:name w:val="批注框文本 字符"/>
    <w:link w:val="18"/>
    <w:autoRedefine/>
    <w:semiHidden/>
    <w:qFormat/>
    <w:uiPriority w:val="99"/>
    <w:rPr>
      <w:rFonts w:ascii="Book Antiqua" w:hAnsi="Book Antiqua"/>
      <w:kern w:val="2"/>
      <w:sz w:val="18"/>
      <w:szCs w:val="18"/>
    </w:rPr>
  </w:style>
  <w:style w:type="character" w:customStyle="1" w:styleId="56">
    <w:name w:val="页脚 字符"/>
    <w:link w:val="19"/>
    <w:autoRedefine/>
    <w:qFormat/>
    <w:locked/>
    <w:uiPriority w:val="99"/>
    <w:rPr>
      <w:rFonts w:cs="Times New Roman"/>
      <w:sz w:val="18"/>
      <w:szCs w:val="18"/>
    </w:rPr>
  </w:style>
  <w:style w:type="character" w:customStyle="1" w:styleId="57">
    <w:name w:val="页眉 字符"/>
    <w:link w:val="20"/>
    <w:autoRedefine/>
    <w:semiHidden/>
    <w:qFormat/>
    <w:locked/>
    <w:uiPriority w:val="99"/>
    <w:rPr>
      <w:rFonts w:cs="Times New Roman"/>
      <w:sz w:val="18"/>
      <w:szCs w:val="18"/>
    </w:rPr>
  </w:style>
  <w:style w:type="paragraph" w:customStyle="1" w:styleId="58">
    <w:name w:val="style4"/>
    <w:basedOn w:val="59"/>
    <w:next w:val="60"/>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正文_0"/>
    <w:next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1">
    <w:name w:val="p0 Char Char"/>
    <w:link w:val="62"/>
    <w:autoRedefine/>
    <w:qFormat/>
    <w:locked/>
    <w:uiPriority w:val="99"/>
    <w:rPr>
      <w:rFonts w:ascii="Times New Roman" w:hAnsi="Times New Roman" w:cs="Times New Roman"/>
      <w:kern w:val="0"/>
      <w:sz w:val="21"/>
      <w:szCs w:val="21"/>
    </w:rPr>
  </w:style>
  <w:style w:type="paragraph" w:customStyle="1" w:styleId="62">
    <w:name w:val="p0"/>
    <w:basedOn w:val="1"/>
    <w:link w:val="61"/>
    <w:autoRedefine/>
    <w:qFormat/>
    <w:uiPriority w:val="99"/>
    <w:pPr>
      <w:widowControl/>
    </w:pPr>
    <w:rPr>
      <w:rFonts w:ascii="Times New Roman" w:hAnsi="Times New Roman"/>
      <w:kern w:val="0"/>
      <w:szCs w:val="21"/>
    </w:rPr>
  </w:style>
  <w:style w:type="character" w:customStyle="1" w:styleId="63">
    <w:name w:val="font81"/>
    <w:autoRedefine/>
    <w:qFormat/>
    <w:uiPriority w:val="0"/>
    <w:rPr>
      <w:rFonts w:hint="eastAsia" w:ascii="宋体" w:hAnsi="宋体" w:eastAsia="宋体" w:cs="宋体"/>
      <w:color w:val="000000"/>
      <w:sz w:val="24"/>
      <w:szCs w:val="24"/>
      <w:u w:val="none"/>
    </w:rPr>
  </w:style>
  <w:style w:type="character" w:customStyle="1" w:styleId="64">
    <w:name w:val="font31"/>
    <w:autoRedefine/>
    <w:qFormat/>
    <w:uiPriority w:val="0"/>
    <w:rPr>
      <w:rFonts w:hint="eastAsia" w:ascii="宋体" w:hAnsi="宋体" w:eastAsia="宋体" w:cs="宋体"/>
      <w:color w:val="000000"/>
      <w:sz w:val="24"/>
      <w:szCs w:val="24"/>
      <w:u w:val="none"/>
    </w:rPr>
  </w:style>
  <w:style w:type="character" w:customStyle="1" w:styleId="65">
    <w:name w:val="font51"/>
    <w:autoRedefine/>
    <w:qFormat/>
    <w:uiPriority w:val="0"/>
    <w:rPr>
      <w:rFonts w:ascii="Calibri" w:hAnsi="Calibri" w:cs="Calibri"/>
      <w:color w:val="000000"/>
      <w:sz w:val="24"/>
      <w:szCs w:val="24"/>
      <w:u w:val="none"/>
    </w:rPr>
  </w:style>
  <w:style w:type="character" w:customStyle="1" w:styleId="66">
    <w:name w:val="纯文本 Char"/>
    <w:autoRedefine/>
    <w:qFormat/>
    <w:uiPriority w:val="0"/>
    <w:rPr>
      <w:rFonts w:ascii="宋体" w:hAnsi="Courier New"/>
      <w:kern w:val="2"/>
      <w:sz w:val="21"/>
    </w:rPr>
  </w:style>
  <w:style w:type="paragraph" w:customStyle="1" w:styleId="6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_Style 60"/>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70">
    <w:name w:val="列表段落1"/>
    <w:basedOn w:val="1"/>
    <w:autoRedefine/>
    <w:qFormat/>
    <w:uiPriority w:val="99"/>
    <w:pPr>
      <w:ind w:firstLine="420" w:firstLineChars="200"/>
    </w:pPr>
    <w:rPr>
      <w:rFonts w:ascii="Times New Roman" w:hAnsi="Times New Roman"/>
    </w:rPr>
  </w:style>
  <w:style w:type="paragraph" w:customStyle="1" w:styleId="71">
    <w:name w:val="style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7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73">
    <w:name w:val="Body Text First Indent1"/>
    <w:basedOn w:val="10"/>
    <w:autoRedefine/>
    <w:qFormat/>
    <w:uiPriority w:val="0"/>
    <w:pPr>
      <w:ind w:firstLine="420" w:firstLineChars="100"/>
    </w:pPr>
    <w:rPr>
      <w:rFonts w:ascii="Calibri" w:hAnsi="Calibri"/>
    </w:rPr>
  </w:style>
  <w:style w:type="paragraph" w:customStyle="1" w:styleId="74">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kern w:val="0"/>
      <w:sz w:val="32"/>
      <w:szCs w:val="20"/>
    </w:rPr>
  </w:style>
  <w:style w:type="character" w:customStyle="1" w:styleId="75">
    <w:name w:val="font41"/>
    <w:basedOn w:val="30"/>
    <w:autoRedefine/>
    <w:qFormat/>
    <w:uiPriority w:val="0"/>
    <w:rPr>
      <w:rFonts w:hint="eastAsia" w:ascii="宋体" w:hAnsi="宋体" w:eastAsia="宋体" w:cs="宋体"/>
      <w:color w:val="000000"/>
      <w:sz w:val="20"/>
      <w:szCs w:val="20"/>
      <w:u w:val="none"/>
    </w:rPr>
  </w:style>
  <w:style w:type="character" w:customStyle="1" w:styleId="76">
    <w:name w:val="font151"/>
    <w:basedOn w:val="30"/>
    <w:autoRedefine/>
    <w:qFormat/>
    <w:uiPriority w:val="0"/>
    <w:rPr>
      <w:rFonts w:hint="eastAsia" w:ascii="宋体" w:hAnsi="宋体" w:eastAsia="宋体" w:cs="宋体"/>
      <w:color w:val="000000"/>
      <w:sz w:val="20"/>
      <w:szCs w:val="20"/>
      <w:u w:val="none"/>
      <w:vertAlign w:val="superscript"/>
    </w:rPr>
  </w:style>
  <w:style w:type="character" w:customStyle="1" w:styleId="77">
    <w:name w:val="font161"/>
    <w:basedOn w:val="30"/>
    <w:autoRedefine/>
    <w:qFormat/>
    <w:uiPriority w:val="0"/>
    <w:rPr>
      <w:rFonts w:hint="eastAsia" w:ascii="宋体" w:hAnsi="宋体" w:eastAsia="宋体" w:cs="宋体"/>
      <w:color w:val="000000"/>
      <w:sz w:val="28"/>
      <w:szCs w:val="28"/>
      <w:u w:val="none"/>
      <w:vertAlign w:val="superscript"/>
    </w:rPr>
  </w:style>
  <w:style w:type="character" w:customStyle="1" w:styleId="78">
    <w:name w:val="font171"/>
    <w:basedOn w:val="30"/>
    <w:autoRedefine/>
    <w:qFormat/>
    <w:uiPriority w:val="0"/>
    <w:rPr>
      <w:rFonts w:hint="eastAsia" w:ascii="宋体" w:hAnsi="宋体" w:eastAsia="宋体" w:cs="宋体"/>
      <w:color w:val="000000"/>
      <w:sz w:val="20"/>
      <w:szCs w:val="20"/>
      <w:u w:val="none"/>
      <w:vertAlign w:val="superscript"/>
    </w:rPr>
  </w:style>
  <w:style w:type="paragraph" w:customStyle="1" w:styleId="79">
    <w:name w:val="BodyText"/>
    <w:basedOn w:val="1"/>
    <w:autoRedefine/>
    <w:qFormat/>
    <w:uiPriority w:val="0"/>
    <w:pPr>
      <w:spacing w:after="120" w:line="440" w:lineRule="atLeast"/>
      <w:ind w:firstLine="200" w:firstLineChars="200"/>
      <w:textAlignment w:val="baseline"/>
    </w:pPr>
    <w:rPr>
      <w:rFonts w:ascii="Times New Roman" w:hAnsi="Times New Roman"/>
    </w:rPr>
  </w:style>
  <w:style w:type="paragraph" w:customStyle="1" w:styleId="80">
    <w:name w:val="BodyText2"/>
    <w:basedOn w:val="1"/>
    <w:next w:val="79"/>
    <w:autoRedefine/>
    <w:qFormat/>
    <w:uiPriority w:val="0"/>
    <w:pPr>
      <w:spacing w:after="120" w:line="480" w:lineRule="auto"/>
      <w:textAlignment w:val="baseline"/>
    </w:pPr>
    <w:rPr>
      <w:rFonts w:ascii="Times New Roman" w:hAnsi="Times New Roman"/>
      <w:kern w:val="0"/>
      <w:sz w:val="24"/>
    </w:rPr>
  </w:style>
  <w:style w:type="character" w:customStyle="1" w:styleId="81">
    <w:name w:val="hover16"/>
    <w:basedOn w:val="30"/>
    <w:autoRedefine/>
    <w:qFormat/>
    <w:uiPriority w:val="0"/>
  </w:style>
  <w:style w:type="paragraph" w:customStyle="1" w:styleId="82">
    <w:name w:val="样式1"/>
    <w:basedOn w:val="1"/>
    <w:autoRedefine/>
    <w:qFormat/>
    <w:uiPriority w:val="0"/>
    <w:pPr>
      <w:tabs>
        <w:tab w:val="left" w:pos="709"/>
      </w:tabs>
      <w:ind w:left="709" w:hanging="709"/>
    </w:pPr>
    <w:rPr>
      <w:rFonts w:ascii="宋体" w:hAnsi="宋体"/>
    </w:rPr>
  </w:style>
  <w:style w:type="character" w:customStyle="1" w:styleId="83">
    <w:name w:val="font21"/>
    <w:autoRedefine/>
    <w:qFormat/>
    <w:uiPriority w:val="0"/>
    <w:rPr>
      <w:rFonts w:ascii="Calibri" w:hAnsi="Calibri" w:cs="Calibri"/>
      <w:color w:val="000000"/>
      <w:sz w:val="16"/>
      <w:szCs w:val="16"/>
      <w:u w:val="none"/>
    </w:rPr>
  </w:style>
  <w:style w:type="character" w:customStyle="1" w:styleId="84">
    <w:name w:val="font11"/>
    <w:autoRedefine/>
    <w:qFormat/>
    <w:uiPriority w:val="0"/>
    <w:rPr>
      <w:rFonts w:hint="eastAsia" w:ascii="宋体" w:hAnsi="宋体" w:eastAsia="宋体" w:cs="宋体"/>
      <w:color w:val="000000"/>
      <w:sz w:val="16"/>
      <w:szCs w:val="16"/>
      <w:u w:val="none"/>
    </w:rPr>
  </w:style>
  <w:style w:type="paragraph" w:customStyle="1" w:styleId="85">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rPr>
  </w:style>
  <w:style w:type="character" w:customStyle="1" w:styleId="86">
    <w:name w:val="NormalCharacter"/>
    <w:autoRedefine/>
    <w:semiHidden/>
    <w:qFormat/>
    <w:uiPriority w:val="0"/>
    <w:rPr>
      <w:rFonts w:ascii="宋体" w:hAnsi="宋体" w:cs="宋体"/>
      <w:sz w:val="22"/>
      <w:szCs w:val="22"/>
      <w:lang w:val="zh-CN" w:eastAsia="zh-CN" w:bidi="zh-CN"/>
    </w:rPr>
  </w:style>
  <w:style w:type="paragraph" w:customStyle="1" w:styleId="87">
    <w:name w:val="Table Paragraph"/>
    <w:basedOn w:val="1"/>
    <w:autoRedefine/>
    <w:qFormat/>
    <w:uiPriority w:val="1"/>
  </w:style>
  <w:style w:type="paragraph" w:customStyle="1" w:styleId="8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89">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styleId="90">
    <w:name w:val="List Paragraph"/>
    <w:basedOn w:val="1"/>
    <w:autoRedefine/>
    <w:unhideWhenUsed/>
    <w:qFormat/>
    <w:uiPriority w:val="99"/>
    <w:pPr>
      <w:ind w:firstLine="420" w:firstLineChars="200"/>
    </w:pPr>
  </w:style>
  <w:style w:type="paragraph" w:customStyle="1" w:styleId="91">
    <w:name w:val="正文 New New New New"/>
    <w:qFormat/>
    <w:uiPriority w:val="0"/>
    <w:pPr>
      <w:widowControl w:val="0"/>
      <w:jc w:val="both"/>
    </w:pPr>
    <w:rPr>
      <w:rFonts w:ascii="Times New Roman" w:hAnsi="Times New Roman" w:eastAsia="宋体" w:cs="Times New Roman"/>
      <w:szCs w:val="24"/>
      <w:lang w:val="en-US" w:eastAsia="zh-CN" w:bidi="ar-SA"/>
    </w:rPr>
  </w:style>
  <w:style w:type="character" w:customStyle="1" w:styleId="92">
    <w:name w:val="标题 2 字符"/>
    <w:link w:val="3"/>
    <w:qFormat/>
    <w:uiPriority w:val="0"/>
    <w:rPr>
      <w:rFonts w:ascii="Calibri Light" w:hAnsi="Calibri Light"/>
      <w:b/>
      <w:bCs/>
      <w:sz w:val="32"/>
      <w:szCs w:val="32"/>
    </w:rPr>
  </w:style>
  <w:style w:type="paragraph" w:customStyle="1" w:styleId="93">
    <w:name w:val="NO3"/>
    <w:basedOn w:val="1"/>
    <w:qFormat/>
    <w:uiPriority w:val="0"/>
    <w:pPr>
      <w:tabs>
        <w:tab w:val="left" w:pos="907"/>
      </w:tabs>
      <w:spacing w:line="360" w:lineRule="auto"/>
    </w:pPr>
    <w:rPr>
      <w:rFonts w:ascii="宋体" w:hAnsi="宋体"/>
      <w:sz w:val="24"/>
      <w:szCs w:val="24"/>
    </w:rPr>
  </w:style>
  <w:style w:type="paragraph" w:customStyle="1" w:styleId="94">
    <w:name w:val="Body text|2"/>
    <w:basedOn w:val="1"/>
    <w:qFormat/>
    <w:uiPriority w:val="0"/>
    <w:pPr>
      <w:widowControl w:val="0"/>
      <w:shd w:val="clear" w:color="auto" w:fill="auto"/>
      <w:spacing w:after="300"/>
    </w:pPr>
    <w:rPr>
      <w:rFonts w:ascii="宋体" w:hAnsi="宋体" w:eastAsia="宋体" w:cs="宋体"/>
      <w:sz w:val="15"/>
      <w:szCs w:val="15"/>
      <w:u w:val="none"/>
      <w:shd w:val="clear" w:color="auto" w:fill="auto"/>
      <w:lang w:val="zh-TW" w:eastAsia="zh-TW" w:bidi="zh-TW"/>
    </w:rPr>
  </w:style>
  <w:style w:type="paragraph" w:customStyle="1" w:styleId="95">
    <w:name w:val="Other|1"/>
    <w:basedOn w:val="1"/>
    <w:qFormat/>
    <w:uiPriority w:val="0"/>
    <w:pPr>
      <w:widowControl w:val="0"/>
      <w:shd w:val="clear" w:color="auto" w:fill="auto"/>
      <w:spacing w:line="240" w:lineRule="exact"/>
    </w:pPr>
    <w:rPr>
      <w:rFonts w:ascii="宋体" w:hAnsi="宋体" w:eastAsia="宋体" w:cs="宋体"/>
      <w:sz w:val="15"/>
      <w:szCs w:val="15"/>
      <w:u w:val="none"/>
      <w:shd w:val="clear" w:color="auto" w:fill="auto"/>
      <w:lang w:val="zh-TW" w:eastAsia="zh-TW" w:bidi="zh-TW"/>
    </w:rPr>
  </w:style>
  <w:style w:type="paragraph" w:customStyle="1" w:styleId="96">
    <w:name w:val="Body text|1"/>
    <w:basedOn w:val="1"/>
    <w:qFormat/>
    <w:uiPriority w:val="0"/>
    <w:pPr>
      <w:widowControl w:val="0"/>
      <w:shd w:val="clear" w:color="auto" w:fill="auto"/>
      <w:spacing w:after="180"/>
      <w:jc w:val="center"/>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63</Pages>
  <Words>22482</Words>
  <Characters>24132</Characters>
  <Lines>267</Lines>
  <Paragraphs>75</Paragraphs>
  <TotalTime>3</TotalTime>
  <ScaleCrop>false</ScaleCrop>
  <LinksUpToDate>false</LinksUpToDate>
  <CharactersWithSpaces>24370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2020-11-03T09:56:00Z</dcterms:created>
  <dc:creator>pc</dc:creator>
  <cp:lastModifiedBy>Administrator</cp:lastModifiedBy>
  <cp:lastPrinted>2026-01-08T06:41:00Z</cp:lastPrinted>
  <dcterms:modified xsi:type="dcterms:W3CDTF">2026-02-26T08:24:23Z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918D0B0F022746718579B0FDE81F9D66_13</vt:lpwstr>
  </property>
  <property fmtid="{D5CDD505-2E9C-101B-9397-08002B2CF9AE}" pid="4" name="KSOTemplateDocerSaveRecord">
    <vt:lpwstr>eyJoZGlkIjoiZDU4MjU5NGVjMmRjNDYzNTU4YTlhZGY3OTBjOTVhY2EiLCJ1c2VySWQiOiI0ODg3MzE1MDAifQ==</vt:lpwstr>
  </property>
</Properties>
</file>