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215ED">
      <w:pPr>
        <w:rPr>
          <w:color w:val="000000" w:themeColor="text1"/>
          <w14:textFill>
            <w14:solidFill>
              <w14:schemeClr w14:val="tx1"/>
            </w14:solidFill>
          </w14:textFill>
        </w:rPr>
      </w:pPr>
    </w:p>
    <w:p w14:paraId="6B60DA6B">
      <w:pPr>
        <w:rPr>
          <w:color w:val="000000" w:themeColor="text1"/>
          <w14:textFill>
            <w14:solidFill>
              <w14:schemeClr w14:val="tx1"/>
            </w14:solidFill>
          </w14:textFill>
        </w:rPr>
      </w:pPr>
    </w:p>
    <w:p w14:paraId="7D90DAA8">
      <w:pPr>
        <w:pStyle w:val="12"/>
        <w:ind w:firstLine="0" w:firstLineChars="0"/>
        <w:jc w:val="center"/>
        <w:rPr>
          <w:rFonts w:hint="eastAsia" w:eastAsia="宋体"/>
          <w:color w:val="000000" w:themeColor="text1"/>
          <w:sz w:val="20"/>
          <w:szCs w:val="22"/>
          <w:lang w:eastAsia="zh-CN"/>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博爱县民政局殡仪馆火化炉（含尾气处理设备）采购项目</w:t>
      </w:r>
    </w:p>
    <w:p w14:paraId="454F017C">
      <w:pPr>
        <w:rPr>
          <w:color w:val="000000" w:themeColor="text1"/>
          <w14:textFill>
            <w14:solidFill>
              <w14:schemeClr w14:val="tx1"/>
            </w14:solidFill>
          </w14:textFill>
        </w:rPr>
      </w:pPr>
    </w:p>
    <w:p w14:paraId="2D3CB0D4">
      <w:pPr>
        <w:rPr>
          <w:color w:val="000000" w:themeColor="text1"/>
          <w14:textFill>
            <w14:solidFill>
              <w14:schemeClr w14:val="tx1"/>
            </w14:solidFill>
          </w14:textFill>
        </w:rPr>
      </w:pPr>
    </w:p>
    <w:p w14:paraId="5240F765">
      <w:pPr>
        <w:snapToGrid w:val="0"/>
        <w:spacing w:line="360" w:lineRule="auto"/>
        <w:jc w:val="center"/>
        <w:rPr>
          <w:rFonts w:ascii="宋体" w:hAnsi="宋体" w:cs="宋体"/>
          <w:b/>
          <w:color w:val="000000" w:themeColor="text1"/>
          <w:kern w:val="0"/>
          <w:sz w:val="60"/>
          <w:szCs w:val="60"/>
          <w14:textFill>
            <w14:solidFill>
              <w14:schemeClr w14:val="tx1"/>
            </w14:solidFill>
          </w14:textFill>
        </w:rPr>
      </w:pPr>
      <w:r>
        <w:rPr>
          <w:rFonts w:hint="eastAsia" w:ascii="宋体" w:hAnsi="宋体" w:cs="宋体"/>
          <w:b/>
          <w:color w:val="000000" w:themeColor="text1"/>
          <w:kern w:val="0"/>
          <w:sz w:val="60"/>
          <w:szCs w:val="60"/>
          <w14:textFill>
            <w14:solidFill>
              <w14:schemeClr w14:val="tx1"/>
            </w14:solidFill>
          </w14:textFill>
        </w:rPr>
        <w:t xml:space="preserve">竞争性谈判文件       </w:t>
      </w:r>
    </w:p>
    <w:p w14:paraId="6C82C571">
      <w:pPr>
        <w:snapToGrid w:val="0"/>
        <w:spacing w:line="360" w:lineRule="auto"/>
        <w:jc w:val="center"/>
        <w:rPr>
          <w:rFonts w:hint="eastAsia" w:ascii="宋体" w:hAnsi="宋体" w:cs="宋体"/>
          <w:b/>
          <w:color w:val="000000" w:themeColor="text1"/>
          <w:spacing w:val="-6"/>
          <w:sz w:val="30"/>
          <w:szCs w:val="30"/>
          <w:lang w:eastAsia="zh-CN"/>
          <w14:textFill>
            <w14:solidFill>
              <w14:schemeClr w14:val="tx1"/>
            </w14:solidFill>
          </w14:textFill>
        </w:rPr>
      </w:pPr>
      <w:r>
        <w:rPr>
          <w:rFonts w:hint="eastAsia" w:ascii="宋体" w:hAnsi="宋体" w:cs="宋体"/>
          <w:b/>
          <w:color w:val="000000" w:themeColor="text1"/>
          <w:spacing w:val="-6"/>
          <w:sz w:val="30"/>
          <w:szCs w:val="30"/>
          <w14:textFill>
            <w14:solidFill>
              <w14:schemeClr w14:val="tx1"/>
            </w14:solidFill>
          </w14:textFill>
        </w:rPr>
        <w:t>采购编号：</w:t>
      </w:r>
      <w:r>
        <w:rPr>
          <w:rFonts w:hint="eastAsia" w:ascii="宋体" w:hAnsi="宋体" w:cs="宋体"/>
          <w:b/>
          <w:color w:val="000000" w:themeColor="text1"/>
          <w:spacing w:val="-6"/>
          <w:sz w:val="30"/>
          <w:szCs w:val="30"/>
          <w:lang w:eastAsia="zh-CN"/>
          <w14:textFill>
            <w14:solidFill>
              <w14:schemeClr w14:val="tx1"/>
            </w14:solidFill>
          </w14:textFill>
        </w:rPr>
        <w:t>博政采购（2026）</w:t>
      </w:r>
      <w:r>
        <w:rPr>
          <w:rFonts w:hint="eastAsia" w:ascii="宋体" w:hAnsi="宋体" w:cs="宋体"/>
          <w:b/>
          <w:color w:val="000000" w:themeColor="text1"/>
          <w:spacing w:val="-6"/>
          <w:sz w:val="30"/>
          <w:szCs w:val="30"/>
          <w:lang w:val="en-US" w:eastAsia="zh-CN"/>
          <w14:textFill>
            <w14:solidFill>
              <w14:schemeClr w14:val="tx1"/>
            </w14:solidFill>
          </w14:textFill>
        </w:rPr>
        <w:t>37</w:t>
      </w:r>
      <w:r>
        <w:rPr>
          <w:rFonts w:hint="eastAsia" w:ascii="宋体" w:hAnsi="宋体" w:cs="宋体"/>
          <w:b/>
          <w:color w:val="000000" w:themeColor="text1"/>
          <w:spacing w:val="-6"/>
          <w:sz w:val="30"/>
          <w:szCs w:val="30"/>
          <w:lang w:eastAsia="zh-CN"/>
          <w14:textFill>
            <w14:solidFill>
              <w14:schemeClr w14:val="tx1"/>
            </w14:solidFill>
          </w14:textFill>
        </w:rPr>
        <w:t>号</w:t>
      </w:r>
    </w:p>
    <w:p w14:paraId="02B07F49">
      <w:pPr>
        <w:snapToGrid w:val="0"/>
        <w:spacing w:line="360" w:lineRule="auto"/>
        <w:ind w:firstLine="2313" w:firstLineChars="800"/>
        <w:jc w:val="both"/>
        <w:rPr>
          <w:rFonts w:hint="default" w:ascii="宋体" w:hAnsi="宋体" w:cs="宋体"/>
          <w:b/>
          <w:color w:val="000000" w:themeColor="text1"/>
          <w:spacing w:val="-6"/>
          <w:sz w:val="30"/>
          <w:szCs w:val="30"/>
          <w:lang w:val="en-US" w:eastAsia="zh-CN"/>
          <w14:textFill>
            <w14:solidFill>
              <w14:schemeClr w14:val="tx1"/>
            </w14:solidFill>
          </w14:textFill>
        </w:rPr>
      </w:pPr>
      <w:r>
        <w:rPr>
          <w:rFonts w:hint="eastAsia" w:ascii="宋体" w:hAnsi="宋体" w:cs="宋体"/>
          <w:b/>
          <w:color w:val="000000" w:themeColor="text1"/>
          <w:spacing w:val="-6"/>
          <w:sz w:val="30"/>
          <w:szCs w:val="30"/>
          <w:lang w:eastAsia="zh-CN"/>
          <w14:textFill>
            <w14:solidFill>
              <w14:schemeClr w14:val="tx1"/>
            </w14:solidFill>
          </w14:textFill>
        </w:rPr>
        <w:t>项目编号</w:t>
      </w:r>
      <w:r>
        <w:rPr>
          <w:rFonts w:hint="eastAsia" w:ascii="宋体" w:hAnsi="宋体" w:cs="宋体"/>
          <w:b/>
          <w:color w:val="000000" w:themeColor="text1"/>
          <w:spacing w:val="-6"/>
          <w:sz w:val="30"/>
          <w:szCs w:val="30"/>
          <w:highlight w:val="none"/>
          <w:lang w:eastAsia="zh-CN"/>
          <w14:textFill>
            <w14:solidFill>
              <w14:schemeClr w14:val="tx1"/>
            </w14:solidFill>
          </w14:textFill>
        </w:rPr>
        <w:t>：博财谈判采购-202</w:t>
      </w:r>
      <w:r>
        <w:rPr>
          <w:rFonts w:hint="eastAsia" w:ascii="宋体" w:hAnsi="宋体" w:cs="宋体"/>
          <w:b/>
          <w:color w:val="000000" w:themeColor="text1"/>
          <w:spacing w:val="-6"/>
          <w:sz w:val="30"/>
          <w:szCs w:val="30"/>
          <w:highlight w:val="none"/>
          <w:lang w:val="en-US" w:eastAsia="zh-CN"/>
          <w14:textFill>
            <w14:solidFill>
              <w14:schemeClr w14:val="tx1"/>
            </w14:solidFill>
          </w14:textFill>
        </w:rPr>
        <w:t>6</w:t>
      </w:r>
      <w:r>
        <w:rPr>
          <w:rFonts w:hint="eastAsia" w:ascii="宋体" w:hAnsi="宋体" w:cs="宋体"/>
          <w:b/>
          <w:color w:val="000000" w:themeColor="text1"/>
          <w:spacing w:val="-6"/>
          <w:sz w:val="30"/>
          <w:szCs w:val="30"/>
          <w:highlight w:val="none"/>
          <w:lang w:eastAsia="zh-CN"/>
          <w14:textFill>
            <w14:solidFill>
              <w14:schemeClr w14:val="tx1"/>
            </w14:solidFill>
          </w14:textFill>
        </w:rPr>
        <w:t>-</w:t>
      </w:r>
      <w:r>
        <w:rPr>
          <w:rFonts w:hint="eastAsia" w:ascii="宋体" w:hAnsi="宋体" w:cs="宋体"/>
          <w:b/>
          <w:color w:val="000000" w:themeColor="text1"/>
          <w:spacing w:val="-6"/>
          <w:sz w:val="30"/>
          <w:szCs w:val="30"/>
          <w:highlight w:val="none"/>
          <w:lang w:val="en-US" w:eastAsia="zh-CN"/>
          <w14:textFill>
            <w14:solidFill>
              <w14:schemeClr w14:val="tx1"/>
            </w14:solidFill>
          </w14:textFill>
        </w:rPr>
        <w:t>30</w:t>
      </w:r>
    </w:p>
    <w:p w14:paraId="778524FD">
      <w:pPr>
        <w:snapToGrid w:val="0"/>
        <w:spacing w:line="360" w:lineRule="auto"/>
        <w:rPr>
          <w:rFonts w:ascii="宋体" w:hAnsi="宋体" w:cs="宋体"/>
          <w:b/>
          <w:color w:val="000000" w:themeColor="text1"/>
          <w:spacing w:val="-6"/>
          <w:sz w:val="30"/>
          <w:szCs w:val="30"/>
          <w14:textFill>
            <w14:solidFill>
              <w14:schemeClr w14:val="tx1"/>
            </w14:solidFill>
          </w14:textFill>
        </w:rPr>
      </w:pPr>
    </w:p>
    <w:p w14:paraId="1B972DE3">
      <w:pPr>
        <w:snapToGrid w:val="0"/>
        <w:spacing w:line="360" w:lineRule="auto"/>
        <w:rPr>
          <w:rFonts w:ascii="宋体" w:hAnsi="宋体" w:cs="宋体"/>
          <w:b/>
          <w:color w:val="000000" w:themeColor="text1"/>
          <w:spacing w:val="-6"/>
          <w:sz w:val="30"/>
          <w:szCs w:val="30"/>
          <w14:textFill>
            <w14:solidFill>
              <w14:schemeClr w14:val="tx1"/>
            </w14:solidFill>
          </w14:textFill>
        </w:rPr>
      </w:pPr>
    </w:p>
    <w:p w14:paraId="6E2C77FD">
      <w:pPr>
        <w:snapToGrid w:val="0"/>
        <w:spacing w:line="360" w:lineRule="auto"/>
        <w:rPr>
          <w:rFonts w:ascii="宋体" w:hAnsi="宋体" w:cs="宋体"/>
          <w:b/>
          <w:color w:val="000000" w:themeColor="text1"/>
          <w:spacing w:val="-6"/>
          <w:sz w:val="30"/>
          <w:szCs w:val="30"/>
          <w14:textFill>
            <w14:solidFill>
              <w14:schemeClr w14:val="tx1"/>
            </w14:solidFill>
          </w14:textFill>
        </w:rPr>
      </w:pPr>
    </w:p>
    <w:p w14:paraId="029F8808">
      <w:pPr>
        <w:pStyle w:val="4"/>
        <w:rPr>
          <w:color w:val="000000" w:themeColor="text1"/>
          <w14:textFill>
            <w14:solidFill>
              <w14:schemeClr w14:val="tx1"/>
            </w14:solidFill>
          </w14:textFill>
        </w:rPr>
      </w:pPr>
    </w:p>
    <w:p w14:paraId="3A16AE3B">
      <w:pPr>
        <w:rPr>
          <w:color w:val="000000" w:themeColor="text1"/>
          <w14:textFill>
            <w14:solidFill>
              <w14:schemeClr w14:val="tx1"/>
            </w14:solidFill>
          </w14:textFill>
        </w:rPr>
      </w:pPr>
    </w:p>
    <w:p w14:paraId="20425AA1">
      <w:pPr>
        <w:rPr>
          <w:color w:val="000000" w:themeColor="text1"/>
          <w14:textFill>
            <w14:solidFill>
              <w14:schemeClr w14:val="tx1"/>
            </w14:solidFill>
          </w14:textFill>
        </w:rPr>
      </w:pPr>
    </w:p>
    <w:p w14:paraId="1C15030D">
      <w:pPr>
        <w:rPr>
          <w:color w:val="000000" w:themeColor="text1"/>
          <w14:textFill>
            <w14:solidFill>
              <w14:schemeClr w14:val="tx1"/>
            </w14:solidFill>
          </w14:textFill>
        </w:rPr>
      </w:pPr>
    </w:p>
    <w:p w14:paraId="6BD3253E">
      <w:pPr>
        <w:pStyle w:val="28"/>
        <w:rPr>
          <w:color w:val="000000" w:themeColor="text1"/>
          <w14:textFill>
            <w14:solidFill>
              <w14:schemeClr w14:val="tx1"/>
            </w14:solidFill>
          </w14:textFill>
        </w:rPr>
      </w:pPr>
    </w:p>
    <w:p w14:paraId="49B1A81A">
      <w:pPr>
        <w:ind w:firstLine="1546" w:firstLineChars="500"/>
        <w:rPr>
          <w:rFonts w:hint="eastAsia"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采 购 人：博爱县民政局</w:t>
      </w:r>
    </w:p>
    <w:p w14:paraId="21BC92B5">
      <w:pPr>
        <w:ind w:firstLine="1546" w:firstLineChars="500"/>
        <w:rPr>
          <w:rFonts w:hint="eastAsia"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代理机构：山西众恒工程招标代理有限公司</w:t>
      </w:r>
    </w:p>
    <w:p w14:paraId="0EA48D68">
      <w:pPr>
        <w:ind w:firstLine="1546" w:firstLineChars="500"/>
        <w:rPr>
          <w:rStyle w:val="39"/>
          <w:rFonts w:ascii="微软雅黑" w:hAnsi="微软雅黑" w:eastAsia="微软雅黑" w:cs="微软雅黑"/>
          <w:color w:val="000000" w:themeColor="text1"/>
          <w:kern w:val="0"/>
          <w:szCs w:val="44"/>
          <w:u w:val="none"/>
          <w:lang w:val="zh-CN"/>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日    期：2026年5月</w:t>
      </w:r>
    </w:p>
    <w:p w14:paraId="41C9EF02">
      <w:pPr>
        <w:pStyle w:val="21"/>
        <w:tabs>
          <w:tab w:val="right" w:leader="dot" w:pos="8890"/>
        </w:tabs>
        <w:spacing w:line="360" w:lineRule="auto"/>
        <w:jc w:val="center"/>
        <w:rPr>
          <w:rStyle w:val="39"/>
          <w:rFonts w:hint="eastAsia" w:ascii="宋体" w:hAnsi="宋体" w:cs="宋体"/>
          <w:b/>
          <w:bCs/>
          <w:color w:val="000000" w:themeColor="text1"/>
          <w:kern w:val="0"/>
          <w:sz w:val="44"/>
          <w:szCs w:val="44"/>
          <w:u w:val="none"/>
          <w:lang w:val="zh-CN"/>
          <w14:textFill>
            <w14:solidFill>
              <w14:schemeClr w14:val="tx1"/>
            </w14:solidFill>
          </w14:textFill>
        </w:rPr>
      </w:pPr>
    </w:p>
    <w:p w14:paraId="664749E4">
      <w:pPr>
        <w:pStyle w:val="21"/>
        <w:tabs>
          <w:tab w:val="right" w:leader="dot" w:pos="8890"/>
        </w:tabs>
        <w:spacing w:line="360" w:lineRule="auto"/>
        <w:jc w:val="center"/>
        <w:rPr>
          <w:rStyle w:val="39"/>
          <w:rFonts w:ascii="宋体" w:hAnsi="宋体" w:cs="宋体"/>
          <w:b/>
          <w:bCs/>
          <w:color w:val="000000" w:themeColor="text1"/>
          <w:kern w:val="0"/>
          <w:sz w:val="44"/>
          <w:szCs w:val="44"/>
          <w:u w:val="none"/>
          <w:lang w:val="zh-CN"/>
          <w14:textFill>
            <w14:solidFill>
              <w14:schemeClr w14:val="tx1"/>
            </w14:solidFill>
          </w14:textFill>
        </w:rPr>
      </w:pPr>
      <w:r>
        <w:rPr>
          <w:rStyle w:val="39"/>
          <w:rFonts w:hint="eastAsia" w:ascii="宋体" w:hAnsi="宋体" w:cs="宋体"/>
          <w:b/>
          <w:bCs/>
          <w:color w:val="000000" w:themeColor="text1"/>
          <w:kern w:val="0"/>
          <w:sz w:val="44"/>
          <w:szCs w:val="44"/>
          <w:u w:val="none"/>
          <w:lang w:val="zh-CN"/>
          <w14:textFill>
            <w14:solidFill>
              <w14:schemeClr w14:val="tx1"/>
            </w14:solidFill>
          </w14:textFill>
        </w:rPr>
        <w:t>目  录</w:t>
      </w:r>
    </w:p>
    <w:p w14:paraId="25D16055">
      <w:pPr>
        <w:pStyle w:val="21"/>
        <w:tabs>
          <w:tab w:val="right" w:leader="dot" w:pos="8890"/>
        </w:tabs>
        <w:spacing w:line="480" w:lineRule="auto"/>
        <w:ind w:firstLine="480" w:firstLineChars="200"/>
        <w:rPr>
          <w:rStyle w:val="39"/>
          <w:rFonts w:ascii="宋体" w:hAnsi="宋体" w:cs="宋体"/>
          <w:color w:val="000000" w:themeColor="text1"/>
          <w:kern w:val="0"/>
          <w:sz w:val="24"/>
          <w:u w:val="none"/>
          <w14:textFill>
            <w14:solidFill>
              <w14:schemeClr w14:val="tx1"/>
            </w14:solidFill>
          </w14:textFill>
        </w:rPr>
      </w:pPr>
      <w:r>
        <w:rPr>
          <w:rStyle w:val="39"/>
          <w:rFonts w:hint="eastAsia" w:ascii="宋体" w:hAnsi="宋体" w:cs="宋体"/>
          <w:color w:val="000000" w:themeColor="text1"/>
          <w:kern w:val="0"/>
          <w:sz w:val="24"/>
          <w:u w:val="none"/>
          <w14:textFill>
            <w14:solidFill>
              <w14:schemeClr w14:val="tx1"/>
            </w14:solidFill>
          </w14:textFill>
        </w:rPr>
        <w:t>重要事项提示........................................ ................1</w:t>
      </w:r>
    </w:p>
    <w:p w14:paraId="163A8210">
      <w:pPr>
        <w:pStyle w:val="21"/>
        <w:tabs>
          <w:tab w:val="right" w:leader="dot" w:pos="8890"/>
        </w:tabs>
        <w:spacing w:line="480" w:lineRule="auto"/>
        <w:ind w:firstLine="480" w:firstLineChars="200"/>
        <w:rPr>
          <w:rStyle w:val="39"/>
          <w:rFonts w:ascii="宋体" w:hAnsi="宋体" w:cs="宋体"/>
          <w:color w:val="000000" w:themeColor="text1"/>
          <w:kern w:val="0"/>
          <w:sz w:val="24"/>
          <w:u w:val="none"/>
          <w14:textFill>
            <w14:solidFill>
              <w14:schemeClr w14:val="tx1"/>
            </w14:solidFill>
          </w14:textFill>
        </w:rPr>
      </w:pPr>
      <w:r>
        <w:rPr>
          <w:rStyle w:val="39"/>
          <w:rFonts w:hint="eastAsia" w:ascii="宋体" w:hAnsi="宋体" w:cs="宋体"/>
          <w:color w:val="000000" w:themeColor="text1"/>
          <w:kern w:val="0"/>
          <w:sz w:val="24"/>
          <w:u w:val="none"/>
          <w14:textFill>
            <w14:solidFill>
              <w14:schemeClr w14:val="tx1"/>
            </w14:solidFill>
          </w14:textFill>
        </w:rPr>
        <w:fldChar w:fldCharType="begin"/>
      </w:r>
      <w:r>
        <w:rPr>
          <w:rStyle w:val="39"/>
          <w:rFonts w:hint="eastAsia" w:ascii="宋体" w:hAnsi="宋体" w:cs="宋体"/>
          <w:color w:val="000000" w:themeColor="text1"/>
          <w:kern w:val="0"/>
          <w:sz w:val="24"/>
          <w:u w:val="none"/>
          <w14:textFill>
            <w14:solidFill>
              <w14:schemeClr w14:val="tx1"/>
            </w14:solidFill>
          </w14:textFill>
        </w:rPr>
        <w:instrText xml:space="preserve"> TOC \o "1-3" \h \z \u </w:instrText>
      </w:r>
      <w:r>
        <w:rPr>
          <w:rStyle w:val="39"/>
          <w:rFonts w:hint="eastAsia" w:ascii="宋体" w:hAnsi="宋体" w:cs="宋体"/>
          <w:color w:val="000000" w:themeColor="text1"/>
          <w:kern w:val="0"/>
          <w:sz w:val="24"/>
          <w:u w:val="none"/>
          <w14:textFill>
            <w14:solidFill>
              <w14:schemeClr w14:val="tx1"/>
            </w14:solidFill>
          </w14:textFill>
        </w:rPr>
        <w:fldChar w:fldCharType="separate"/>
      </w:r>
      <w:r>
        <w:fldChar w:fldCharType="begin"/>
      </w:r>
      <w:r>
        <w:instrText xml:space="preserve"> HYPERLINK \l "_Toc17836" </w:instrText>
      </w:r>
      <w:r>
        <w:fldChar w:fldCharType="separate"/>
      </w:r>
      <w:r>
        <w:rPr>
          <w:rStyle w:val="39"/>
          <w:rFonts w:hint="eastAsia" w:ascii="宋体" w:hAnsi="宋体" w:cs="宋体"/>
          <w:color w:val="000000" w:themeColor="text1"/>
          <w:kern w:val="0"/>
          <w:sz w:val="24"/>
          <w:u w:val="none"/>
          <w14:textFill>
            <w14:solidFill>
              <w14:schemeClr w14:val="tx1"/>
            </w14:solidFill>
          </w14:textFill>
        </w:rPr>
        <w:t>竞争性谈判公告（不见面开标）</w:t>
      </w:r>
      <w:r>
        <w:rPr>
          <w:rStyle w:val="39"/>
          <w:rFonts w:hint="eastAsia" w:ascii="宋体" w:hAnsi="宋体" w:cs="宋体"/>
          <w:color w:val="000000" w:themeColor="text1"/>
          <w:kern w:val="0"/>
          <w:sz w:val="24"/>
          <w:u w:val="none"/>
          <w14:textFill>
            <w14:solidFill>
              <w14:schemeClr w14:val="tx1"/>
            </w14:solidFill>
          </w14:textFill>
        </w:rPr>
        <w:tab/>
      </w:r>
      <w:r>
        <w:rPr>
          <w:rStyle w:val="39"/>
          <w:rFonts w:hint="eastAsia" w:ascii="宋体" w:hAnsi="宋体" w:cs="宋体"/>
          <w:color w:val="000000" w:themeColor="text1"/>
          <w:kern w:val="0"/>
          <w:sz w:val="24"/>
          <w:u w:val="none"/>
          <w14:textFill>
            <w14:solidFill>
              <w14:schemeClr w14:val="tx1"/>
            </w14:solidFill>
          </w14:textFill>
        </w:rPr>
        <w:fldChar w:fldCharType="begin"/>
      </w:r>
      <w:r>
        <w:rPr>
          <w:rStyle w:val="39"/>
          <w:rFonts w:hint="eastAsia" w:ascii="宋体" w:hAnsi="宋体" w:cs="宋体"/>
          <w:color w:val="000000" w:themeColor="text1"/>
          <w:kern w:val="0"/>
          <w:sz w:val="24"/>
          <w:u w:val="none"/>
          <w14:textFill>
            <w14:solidFill>
              <w14:schemeClr w14:val="tx1"/>
            </w14:solidFill>
          </w14:textFill>
        </w:rPr>
        <w:instrText xml:space="preserve"> PAGEREF _Toc17836 \h </w:instrText>
      </w:r>
      <w:r>
        <w:rPr>
          <w:rStyle w:val="39"/>
          <w:rFonts w:hint="eastAsia" w:ascii="宋体" w:hAnsi="宋体" w:cs="宋体"/>
          <w:color w:val="000000" w:themeColor="text1"/>
          <w:kern w:val="0"/>
          <w:sz w:val="24"/>
          <w:u w:val="none"/>
          <w14:textFill>
            <w14:solidFill>
              <w14:schemeClr w14:val="tx1"/>
            </w14:solidFill>
          </w14:textFill>
        </w:rPr>
        <w:fldChar w:fldCharType="separate"/>
      </w:r>
      <w:r>
        <w:rPr>
          <w:rStyle w:val="39"/>
          <w:rFonts w:hint="eastAsia" w:ascii="宋体" w:hAnsi="宋体" w:cs="宋体"/>
          <w:color w:val="000000" w:themeColor="text1"/>
          <w:kern w:val="0"/>
          <w:sz w:val="24"/>
          <w:u w:val="none"/>
          <w14:textFill>
            <w14:solidFill>
              <w14:schemeClr w14:val="tx1"/>
            </w14:solidFill>
          </w14:textFill>
        </w:rPr>
        <w:t>3</w:t>
      </w:r>
      <w:r>
        <w:rPr>
          <w:rStyle w:val="39"/>
          <w:rFonts w:hint="eastAsia" w:ascii="宋体" w:hAnsi="宋体" w:cs="宋体"/>
          <w:color w:val="000000" w:themeColor="text1"/>
          <w:kern w:val="0"/>
          <w:sz w:val="24"/>
          <w:u w:val="none"/>
          <w14:textFill>
            <w14:solidFill>
              <w14:schemeClr w14:val="tx1"/>
            </w14:solidFill>
          </w14:textFill>
        </w:rPr>
        <w:fldChar w:fldCharType="end"/>
      </w:r>
      <w:r>
        <w:rPr>
          <w:rStyle w:val="39"/>
          <w:rFonts w:hint="eastAsia" w:ascii="宋体" w:hAnsi="宋体" w:cs="宋体"/>
          <w:color w:val="000000" w:themeColor="text1"/>
          <w:kern w:val="0"/>
          <w:sz w:val="24"/>
          <w:u w:val="none"/>
          <w14:textFill>
            <w14:solidFill>
              <w14:schemeClr w14:val="tx1"/>
            </w14:solidFill>
          </w14:textFill>
        </w:rPr>
        <w:fldChar w:fldCharType="end"/>
      </w:r>
    </w:p>
    <w:p w14:paraId="7F00BB41">
      <w:pPr>
        <w:pStyle w:val="21"/>
        <w:tabs>
          <w:tab w:val="right" w:leader="dot" w:pos="8890"/>
        </w:tabs>
        <w:spacing w:line="480" w:lineRule="auto"/>
        <w:ind w:firstLine="420" w:firstLineChars="200"/>
        <w:rPr>
          <w:rStyle w:val="39"/>
          <w:rFonts w:ascii="宋体" w:hAnsi="宋体" w:cs="宋体"/>
          <w:color w:val="000000" w:themeColor="text1"/>
          <w:kern w:val="0"/>
          <w:sz w:val="24"/>
          <w:u w:val="none"/>
          <w14:textFill>
            <w14:solidFill>
              <w14:schemeClr w14:val="tx1"/>
            </w14:solidFill>
          </w14:textFill>
        </w:rPr>
      </w:pPr>
      <w:r>
        <w:fldChar w:fldCharType="begin"/>
      </w:r>
      <w:r>
        <w:instrText xml:space="preserve"> HYPERLINK \l "_Toc28653" </w:instrText>
      </w:r>
      <w:r>
        <w:fldChar w:fldCharType="separate"/>
      </w:r>
      <w:r>
        <w:rPr>
          <w:rStyle w:val="39"/>
          <w:rFonts w:hint="eastAsia" w:ascii="宋体" w:hAnsi="宋体" w:cs="宋体"/>
          <w:color w:val="000000" w:themeColor="text1"/>
          <w:kern w:val="0"/>
          <w:sz w:val="24"/>
          <w:u w:val="none"/>
          <w14:textFill>
            <w14:solidFill>
              <w14:schemeClr w14:val="tx1"/>
            </w14:solidFill>
          </w14:textFill>
        </w:rPr>
        <w:t>投标须知前附表</w:t>
      </w:r>
      <w:r>
        <w:rPr>
          <w:rStyle w:val="39"/>
          <w:rFonts w:hint="eastAsia" w:ascii="宋体" w:hAnsi="宋体" w:cs="宋体"/>
          <w:color w:val="000000" w:themeColor="text1"/>
          <w:kern w:val="0"/>
          <w:sz w:val="24"/>
          <w:u w:val="none"/>
          <w14:textFill>
            <w14:solidFill>
              <w14:schemeClr w14:val="tx1"/>
            </w14:solidFill>
          </w14:textFill>
        </w:rPr>
        <w:tab/>
      </w:r>
      <w:r>
        <w:rPr>
          <w:rStyle w:val="39"/>
          <w:rFonts w:hint="eastAsia" w:ascii="宋体" w:hAnsi="宋体" w:cs="宋体"/>
          <w:color w:val="000000" w:themeColor="text1"/>
          <w:kern w:val="0"/>
          <w:sz w:val="24"/>
          <w:u w:val="none"/>
          <w14:textFill>
            <w14:solidFill>
              <w14:schemeClr w14:val="tx1"/>
            </w14:solidFill>
          </w14:textFill>
        </w:rPr>
        <w:fldChar w:fldCharType="begin"/>
      </w:r>
      <w:r>
        <w:rPr>
          <w:rStyle w:val="39"/>
          <w:rFonts w:hint="eastAsia" w:ascii="宋体" w:hAnsi="宋体" w:cs="宋体"/>
          <w:color w:val="000000" w:themeColor="text1"/>
          <w:kern w:val="0"/>
          <w:sz w:val="24"/>
          <w:u w:val="none"/>
          <w14:textFill>
            <w14:solidFill>
              <w14:schemeClr w14:val="tx1"/>
            </w14:solidFill>
          </w14:textFill>
        </w:rPr>
        <w:instrText xml:space="preserve"> PAGEREF _Toc28653 \h </w:instrText>
      </w:r>
      <w:r>
        <w:rPr>
          <w:rStyle w:val="39"/>
          <w:rFonts w:hint="eastAsia" w:ascii="宋体" w:hAnsi="宋体" w:cs="宋体"/>
          <w:color w:val="000000" w:themeColor="text1"/>
          <w:kern w:val="0"/>
          <w:sz w:val="24"/>
          <w:u w:val="none"/>
          <w14:textFill>
            <w14:solidFill>
              <w14:schemeClr w14:val="tx1"/>
            </w14:solidFill>
          </w14:textFill>
        </w:rPr>
        <w:fldChar w:fldCharType="separate"/>
      </w:r>
      <w:r>
        <w:rPr>
          <w:rStyle w:val="39"/>
          <w:rFonts w:hint="eastAsia" w:ascii="宋体" w:hAnsi="宋体" w:cs="宋体"/>
          <w:color w:val="000000" w:themeColor="text1"/>
          <w:kern w:val="0"/>
          <w:sz w:val="24"/>
          <w:u w:val="none"/>
          <w14:textFill>
            <w14:solidFill>
              <w14:schemeClr w14:val="tx1"/>
            </w14:solidFill>
          </w14:textFill>
        </w:rPr>
        <w:t>6</w:t>
      </w:r>
      <w:r>
        <w:rPr>
          <w:rStyle w:val="39"/>
          <w:rFonts w:hint="eastAsia" w:ascii="宋体" w:hAnsi="宋体" w:cs="宋体"/>
          <w:color w:val="000000" w:themeColor="text1"/>
          <w:kern w:val="0"/>
          <w:sz w:val="24"/>
          <w:u w:val="none"/>
          <w14:textFill>
            <w14:solidFill>
              <w14:schemeClr w14:val="tx1"/>
            </w14:solidFill>
          </w14:textFill>
        </w:rPr>
        <w:fldChar w:fldCharType="end"/>
      </w:r>
      <w:r>
        <w:rPr>
          <w:rStyle w:val="39"/>
          <w:rFonts w:hint="eastAsia" w:ascii="宋体" w:hAnsi="宋体" w:cs="宋体"/>
          <w:color w:val="000000" w:themeColor="text1"/>
          <w:kern w:val="0"/>
          <w:sz w:val="24"/>
          <w:u w:val="none"/>
          <w14:textFill>
            <w14:solidFill>
              <w14:schemeClr w14:val="tx1"/>
            </w14:solidFill>
          </w14:textFill>
        </w:rPr>
        <w:fldChar w:fldCharType="end"/>
      </w:r>
    </w:p>
    <w:p w14:paraId="7D400F77">
      <w:pPr>
        <w:pStyle w:val="21"/>
        <w:tabs>
          <w:tab w:val="right" w:leader="dot" w:pos="8890"/>
        </w:tabs>
        <w:spacing w:line="480" w:lineRule="auto"/>
        <w:ind w:firstLine="420" w:firstLineChars="200"/>
        <w:rPr>
          <w:rStyle w:val="39"/>
          <w:rFonts w:ascii="宋体" w:hAnsi="宋体" w:cs="宋体"/>
          <w:color w:val="000000" w:themeColor="text1"/>
          <w:kern w:val="0"/>
          <w:sz w:val="24"/>
          <w:u w:val="none"/>
          <w14:textFill>
            <w14:solidFill>
              <w14:schemeClr w14:val="tx1"/>
            </w14:solidFill>
          </w14:textFill>
        </w:rPr>
      </w:pPr>
      <w:r>
        <w:fldChar w:fldCharType="begin"/>
      </w:r>
      <w:r>
        <w:instrText xml:space="preserve"> HYPERLINK \l "_Toc16130" </w:instrText>
      </w:r>
      <w:r>
        <w:fldChar w:fldCharType="separate"/>
      </w:r>
      <w:r>
        <w:rPr>
          <w:rStyle w:val="39"/>
          <w:rFonts w:hint="eastAsia" w:ascii="宋体" w:hAnsi="宋体" w:cs="宋体"/>
          <w:color w:val="000000" w:themeColor="text1"/>
          <w:kern w:val="0"/>
          <w:sz w:val="24"/>
          <w:u w:val="none"/>
          <w14:textFill>
            <w14:solidFill>
              <w14:schemeClr w14:val="tx1"/>
            </w14:solidFill>
          </w14:textFill>
        </w:rPr>
        <w:t>第一部分 采购项目相关内容及要求</w:t>
      </w:r>
      <w:r>
        <w:rPr>
          <w:rStyle w:val="39"/>
          <w:rFonts w:hint="eastAsia" w:ascii="宋体" w:hAnsi="宋体" w:cs="宋体"/>
          <w:color w:val="000000" w:themeColor="text1"/>
          <w:kern w:val="0"/>
          <w:sz w:val="24"/>
          <w:u w:val="none"/>
          <w14:textFill>
            <w14:solidFill>
              <w14:schemeClr w14:val="tx1"/>
            </w14:solidFill>
          </w14:textFill>
        </w:rPr>
        <w:tab/>
      </w:r>
      <w:r>
        <w:rPr>
          <w:rStyle w:val="39"/>
          <w:rFonts w:hint="eastAsia" w:ascii="宋体" w:hAnsi="宋体" w:cs="宋体"/>
          <w:color w:val="000000" w:themeColor="text1"/>
          <w:kern w:val="0"/>
          <w:sz w:val="24"/>
          <w:u w:val="none"/>
          <w14:textFill>
            <w14:solidFill>
              <w14:schemeClr w14:val="tx1"/>
            </w14:solidFill>
          </w14:textFill>
        </w:rPr>
        <w:fldChar w:fldCharType="begin"/>
      </w:r>
      <w:r>
        <w:rPr>
          <w:rStyle w:val="39"/>
          <w:rFonts w:hint="eastAsia" w:ascii="宋体" w:hAnsi="宋体" w:cs="宋体"/>
          <w:color w:val="000000" w:themeColor="text1"/>
          <w:kern w:val="0"/>
          <w:sz w:val="24"/>
          <w:u w:val="none"/>
          <w14:textFill>
            <w14:solidFill>
              <w14:schemeClr w14:val="tx1"/>
            </w14:solidFill>
          </w14:textFill>
        </w:rPr>
        <w:instrText xml:space="preserve"> PAGEREF _Toc16130 \h </w:instrText>
      </w:r>
      <w:r>
        <w:rPr>
          <w:rStyle w:val="39"/>
          <w:rFonts w:hint="eastAsia" w:ascii="宋体" w:hAnsi="宋体" w:cs="宋体"/>
          <w:color w:val="000000" w:themeColor="text1"/>
          <w:kern w:val="0"/>
          <w:sz w:val="24"/>
          <w:u w:val="none"/>
          <w14:textFill>
            <w14:solidFill>
              <w14:schemeClr w14:val="tx1"/>
            </w14:solidFill>
          </w14:textFill>
        </w:rPr>
        <w:fldChar w:fldCharType="separate"/>
      </w:r>
      <w:r>
        <w:rPr>
          <w:rStyle w:val="39"/>
          <w:rFonts w:hint="eastAsia" w:ascii="宋体" w:hAnsi="宋体" w:cs="宋体"/>
          <w:color w:val="000000" w:themeColor="text1"/>
          <w:kern w:val="0"/>
          <w:sz w:val="24"/>
          <w:u w:val="none"/>
          <w14:textFill>
            <w14:solidFill>
              <w14:schemeClr w14:val="tx1"/>
            </w14:solidFill>
          </w14:textFill>
        </w:rPr>
        <w:t>10</w:t>
      </w:r>
      <w:r>
        <w:rPr>
          <w:rStyle w:val="39"/>
          <w:rFonts w:hint="eastAsia" w:ascii="宋体" w:hAnsi="宋体" w:cs="宋体"/>
          <w:color w:val="000000" w:themeColor="text1"/>
          <w:kern w:val="0"/>
          <w:sz w:val="24"/>
          <w:u w:val="none"/>
          <w14:textFill>
            <w14:solidFill>
              <w14:schemeClr w14:val="tx1"/>
            </w14:solidFill>
          </w14:textFill>
        </w:rPr>
        <w:fldChar w:fldCharType="end"/>
      </w:r>
      <w:r>
        <w:rPr>
          <w:rStyle w:val="39"/>
          <w:rFonts w:hint="eastAsia" w:ascii="宋体" w:hAnsi="宋体" w:cs="宋体"/>
          <w:color w:val="000000" w:themeColor="text1"/>
          <w:kern w:val="0"/>
          <w:sz w:val="24"/>
          <w:u w:val="none"/>
          <w14:textFill>
            <w14:solidFill>
              <w14:schemeClr w14:val="tx1"/>
            </w14:solidFill>
          </w14:textFill>
        </w:rPr>
        <w:fldChar w:fldCharType="end"/>
      </w:r>
    </w:p>
    <w:p w14:paraId="3F2CBC0A">
      <w:pPr>
        <w:pStyle w:val="21"/>
        <w:tabs>
          <w:tab w:val="right" w:leader="dot" w:pos="8890"/>
        </w:tabs>
        <w:spacing w:line="480" w:lineRule="auto"/>
        <w:ind w:firstLine="420" w:firstLineChars="200"/>
        <w:rPr>
          <w:rStyle w:val="39"/>
          <w:rFonts w:ascii="宋体" w:hAnsi="宋体" w:cs="宋体"/>
          <w:color w:val="000000" w:themeColor="text1"/>
          <w:kern w:val="0"/>
          <w:sz w:val="24"/>
          <w:u w:val="none"/>
          <w14:textFill>
            <w14:solidFill>
              <w14:schemeClr w14:val="tx1"/>
            </w14:solidFill>
          </w14:textFill>
        </w:rPr>
      </w:pPr>
      <w:r>
        <w:fldChar w:fldCharType="begin"/>
      </w:r>
      <w:r>
        <w:instrText xml:space="preserve"> HYPERLINK \l "_Toc18477" </w:instrText>
      </w:r>
      <w:r>
        <w:fldChar w:fldCharType="separate"/>
      </w:r>
      <w:r>
        <w:rPr>
          <w:rStyle w:val="39"/>
          <w:rFonts w:hint="eastAsia" w:ascii="宋体" w:hAnsi="宋体" w:cs="宋体"/>
          <w:color w:val="000000" w:themeColor="text1"/>
          <w:kern w:val="0"/>
          <w:sz w:val="24"/>
          <w:u w:val="none"/>
          <w14:textFill>
            <w14:solidFill>
              <w14:schemeClr w14:val="tx1"/>
            </w14:solidFill>
          </w14:textFill>
        </w:rPr>
        <w:t>第二部分 参与采购须知</w:t>
      </w:r>
      <w:r>
        <w:rPr>
          <w:rStyle w:val="39"/>
          <w:rFonts w:hint="eastAsia" w:ascii="宋体" w:hAnsi="宋体" w:cs="宋体"/>
          <w:color w:val="000000" w:themeColor="text1"/>
          <w:kern w:val="0"/>
          <w:sz w:val="24"/>
          <w:u w:val="none"/>
          <w14:textFill>
            <w14:solidFill>
              <w14:schemeClr w14:val="tx1"/>
            </w14:solidFill>
          </w14:textFill>
        </w:rPr>
        <w:tab/>
      </w:r>
      <w:r>
        <w:rPr>
          <w:rStyle w:val="39"/>
          <w:rFonts w:hint="eastAsia" w:ascii="宋体" w:hAnsi="宋体" w:cs="宋体"/>
          <w:color w:val="000000" w:themeColor="text1"/>
          <w:kern w:val="0"/>
          <w:sz w:val="24"/>
          <w:u w:val="none"/>
          <w14:textFill>
            <w14:solidFill>
              <w14:schemeClr w14:val="tx1"/>
            </w14:solidFill>
          </w14:textFill>
        </w:rPr>
        <w:fldChar w:fldCharType="begin"/>
      </w:r>
      <w:r>
        <w:rPr>
          <w:rStyle w:val="39"/>
          <w:rFonts w:hint="eastAsia" w:ascii="宋体" w:hAnsi="宋体" w:cs="宋体"/>
          <w:color w:val="000000" w:themeColor="text1"/>
          <w:kern w:val="0"/>
          <w:sz w:val="24"/>
          <w:u w:val="none"/>
          <w14:textFill>
            <w14:solidFill>
              <w14:schemeClr w14:val="tx1"/>
            </w14:solidFill>
          </w14:textFill>
        </w:rPr>
        <w:instrText xml:space="preserve"> PAGEREF _Toc18477 \h </w:instrText>
      </w:r>
      <w:r>
        <w:rPr>
          <w:rStyle w:val="39"/>
          <w:rFonts w:hint="eastAsia" w:ascii="宋体" w:hAnsi="宋体" w:cs="宋体"/>
          <w:color w:val="000000" w:themeColor="text1"/>
          <w:kern w:val="0"/>
          <w:sz w:val="24"/>
          <w:u w:val="none"/>
          <w14:textFill>
            <w14:solidFill>
              <w14:schemeClr w14:val="tx1"/>
            </w14:solidFill>
          </w14:textFill>
        </w:rPr>
        <w:fldChar w:fldCharType="separate"/>
      </w:r>
      <w:r>
        <w:rPr>
          <w:rStyle w:val="39"/>
          <w:rFonts w:hint="eastAsia" w:ascii="宋体" w:hAnsi="宋体" w:cs="宋体"/>
          <w:color w:val="000000" w:themeColor="text1"/>
          <w:kern w:val="0"/>
          <w:sz w:val="24"/>
          <w:u w:val="none"/>
          <w14:textFill>
            <w14:solidFill>
              <w14:schemeClr w14:val="tx1"/>
            </w14:solidFill>
          </w14:textFill>
        </w:rPr>
        <w:t>12</w:t>
      </w:r>
      <w:r>
        <w:rPr>
          <w:rStyle w:val="39"/>
          <w:rFonts w:hint="eastAsia" w:ascii="宋体" w:hAnsi="宋体" w:cs="宋体"/>
          <w:color w:val="000000" w:themeColor="text1"/>
          <w:kern w:val="0"/>
          <w:sz w:val="24"/>
          <w:u w:val="none"/>
          <w14:textFill>
            <w14:solidFill>
              <w14:schemeClr w14:val="tx1"/>
            </w14:solidFill>
          </w14:textFill>
        </w:rPr>
        <w:fldChar w:fldCharType="end"/>
      </w:r>
      <w:r>
        <w:rPr>
          <w:rStyle w:val="39"/>
          <w:rFonts w:hint="eastAsia" w:ascii="宋体" w:hAnsi="宋体" w:cs="宋体"/>
          <w:color w:val="000000" w:themeColor="text1"/>
          <w:kern w:val="0"/>
          <w:sz w:val="24"/>
          <w:u w:val="none"/>
          <w14:textFill>
            <w14:solidFill>
              <w14:schemeClr w14:val="tx1"/>
            </w14:solidFill>
          </w14:textFill>
        </w:rPr>
        <w:fldChar w:fldCharType="end"/>
      </w:r>
    </w:p>
    <w:p w14:paraId="6C7AA5B4">
      <w:pPr>
        <w:pStyle w:val="21"/>
        <w:tabs>
          <w:tab w:val="right" w:leader="dot" w:pos="8890"/>
        </w:tabs>
        <w:spacing w:line="480" w:lineRule="auto"/>
        <w:ind w:firstLine="420" w:firstLineChars="200"/>
        <w:rPr>
          <w:rStyle w:val="39"/>
          <w:rFonts w:ascii="宋体" w:hAnsi="宋体" w:cs="宋体"/>
          <w:color w:val="000000" w:themeColor="text1"/>
          <w:kern w:val="0"/>
          <w:sz w:val="24"/>
          <w:u w:val="none"/>
          <w14:textFill>
            <w14:solidFill>
              <w14:schemeClr w14:val="tx1"/>
            </w14:solidFill>
          </w14:textFill>
        </w:rPr>
      </w:pPr>
      <w:r>
        <w:fldChar w:fldCharType="begin"/>
      </w:r>
      <w:r>
        <w:instrText xml:space="preserve"> HYPERLINK \l "_Toc27037" </w:instrText>
      </w:r>
      <w:r>
        <w:fldChar w:fldCharType="separate"/>
      </w:r>
      <w:r>
        <w:rPr>
          <w:rStyle w:val="39"/>
          <w:rFonts w:hint="eastAsia" w:ascii="宋体" w:hAnsi="宋体" w:cs="宋体"/>
          <w:color w:val="000000" w:themeColor="text1"/>
          <w:kern w:val="0"/>
          <w:sz w:val="24"/>
          <w:u w:val="none"/>
          <w14:textFill>
            <w14:solidFill>
              <w14:schemeClr w14:val="tx1"/>
            </w14:solidFill>
          </w14:textFill>
        </w:rPr>
        <w:t>第三部分 其他要求</w:t>
      </w:r>
      <w:r>
        <w:rPr>
          <w:rStyle w:val="39"/>
          <w:rFonts w:hint="eastAsia" w:ascii="宋体" w:hAnsi="宋体" w:cs="宋体"/>
          <w:color w:val="000000" w:themeColor="text1"/>
          <w:kern w:val="0"/>
          <w:sz w:val="24"/>
          <w:u w:val="none"/>
          <w14:textFill>
            <w14:solidFill>
              <w14:schemeClr w14:val="tx1"/>
            </w14:solidFill>
          </w14:textFill>
        </w:rPr>
        <w:tab/>
      </w:r>
      <w:r>
        <w:rPr>
          <w:rStyle w:val="39"/>
          <w:rFonts w:hint="eastAsia" w:ascii="宋体" w:hAnsi="宋体" w:cs="宋体"/>
          <w:color w:val="000000" w:themeColor="text1"/>
          <w:kern w:val="0"/>
          <w:sz w:val="24"/>
          <w:u w:val="none"/>
          <w14:textFill>
            <w14:solidFill>
              <w14:schemeClr w14:val="tx1"/>
            </w14:solidFill>
          </w14:textFill>
        </w:rPr>
        <w:fldChar w:fldCharType="begin"/>
      </w:r>
      <w:r>
        <w:rPr>
          <w:rStyle w:val="39"/>
          <w:rFonts w:hint="eastAsia" w:ascii="宋体" w:hAnsi="宋体" w:cs="宋体"/>
          <w:color w:val="000000" w:themeColor="text1"/>
          <w:kern w:val="0"/>
          <w:sz w:val="24"/>
          <w:u w:val="none"/>
          <w14:textFill>
            <w14:solidFill>
              <w14:schemeClr w14:val="tx1"/>
            </w14:solidFill>
          </w14:textFill>
        </w:rPr>
        <w:instrText xml:space="preserve"> PAGEREF _Toc27037 \h </w:instrText>
      </w:r>
      <w:r>
        <w:rPr>
          <w:rStyle w:val="39"/>
          <w:rFonts w:hint="eastAsia" w:ascii="宋体" w:hAnsi="宋体" w:cs="宋体"/>
          <w:color w:val="000000" w:themeColor="text1"/>
          <w:kern w:val="0"/>
          <w:sz w:val="24"/>
          <w:u w:val="none"/>
          <w14:textFill>
            <w14:solidFill>
              <w14:schemeClr w14:val="tx1"/>
            </w14:solidFill>
          </w14:textFill>
        </w:rPr>
        <w:fldChar w:fldCharType="separate"/>
      </w:r>
      <w:r>
        <w:rPr>
          <w:rStyle w:val="39"/>
          <w:rFonts w:hint="eastAsia" w:ascii="宋体" w:hAnsi="宋体" w:cs="宋体"/>
          <w:color w:val="000000" w:themeColor="text1"/>
          <w:kern w:val="0"/>
          <w:sz w:val="24"/>
          <w:u w:val="none"/>
          <w14:textFill>
            <w14:solidFill>
              <w14:schemeClr w14:val="tx1"/>
            </w14:solidFill>
          </w14:textFill>
        </w:rPr>
        <w:t>23</w:t>
      </w:r>
      <w:r>
        <w:rPr>
          <w:rStyle w:val="39"/>
          <w:rFonts w:hint="eastAsia" w:ascii="宋体" w:hAnsi="宋体" w:cs="宋体"/>
          <w:color w:val="000000" w:themeColor="text1"/>
          <w:kern w:val="0"/>
          <w:sz w:val="24"/>
          <w:u w:val="none"/>
          <w14:textFill>
            <w14:solidFill>
              <w14:schemeClr w14:val="tx1"/>
            </w14:solidFill>
          </w14:textFill>
        </w:rPr>
        <w:fldChar w:fldCharType="end"/>
      </w:r>
      <w:r>
        <w:rPr>
          <w:rStyle w:val="39"/>
          <w:rFonts w:hint="eastAsia" w:ascii="宋体" w:hAnsi="宋体" w:cs="宋体"/>
          <w:color w:val="000000" w:themeColor="text1"/>
          <w:kern w:val="0"/>
          <w:sz w:val="24"/>
          <w:u w:val="none"/>
          <w14:textFill>
            <w14:solidFill>
              <w14:schemeClr w14:val="tx1"/>
            </w14:solidFill>
          </w14:textFill>
        </w:rPr>
        <w:fldChar w:fldCharType="end"/>
      </w:r>
    </w:p>
    <w:p w14:paraId="2EB854BE">
      <w:pPr>
        <w:pStyle w:val="21"/>
        <w:tabs>
          <w:tab w:val="right" w:leader="dot" w:pos="8890"/>
        </w:tabs>
        <w:spacing w:line="480" w:lineRule="auto"/>
        <w:ind w:firstLine="420" w:firstLineChars="200"/>
        <w:rPr>
          <w:rStyle w:val="39"/>
          <w:rFonts w:ascii="宋体" w:hAnsi="宋体" w:cs="宋体"/>
          <w:color w:val="000000" w:themeColor="text1"/>
          <w:kern w:val="0"/>
          <w:sz w:val="24"/>
          <w:u w:val="none"/>
          <w14:textFill>
            <w14:solidFill>
              <w14:schemeClr w14:val="tx1"/>
            </w14:solidFill>
          </w14:textFill>
        </w:rPr>
      </w:pPr>
      <w:r>
        <w:fldChar w:fldCharType="begin"/>
      </w:r>
      <w:r>
        <w:instrText xml:space="preserve"> HYPERLINK \l "_Toc11753" </w:instrText>
      </w:r>
      <w:r>
        <w:fldChar w:fldCharType="separate"/>
      </w:r>
      <w:r>
        <w:rPr>
          <w:rStyle w:val="39"/>
          <w:rFonts w:hint="eastAsia" w:ascii="宋体" w:hAnsi="宋体" w:cs="宋体"/>
          <w:color w:val="000000" w:themeColor="text1"/>
          <w:kern w:val="0"/>
          <w:sz w:val="24"/>
          <w:u w:val="none"/>
          <w14:textFill>
            <w14:solidFill>
              <w14:schemeClr w14:val="tx1"/>
            </w14:solidFill>
          </w14:textFill>
        </w:rPr>
        <w:t>第四部分 质疑与投诉</w:t>
      </w:r>
      <w:r>
        <w:rPr>
          <w:rStyle w:val="39"/>
          <w:rFonts w:hint="eastAsia" w:ascii="宋体" w:hAnsi="宋体" w:cs="宋体"/>
          <w:color w:val="000000" w:themeColor="text1"/>
          <w:kern w:val="0"/>
          <w:sz w:val="24"/>
          <w:u w:val="none"/>
          <w14:textFill>
            <w14:solidFill>
              <w14:schemeClr w14:val="tx1"/>
            </w14:solidFill>
          </w14:textFill>
        </w:rPr>
        <w:tab/>
      </w:r>
      <w:r>
        <w:rPr>
          <w:rStyle w:val="39"/>
          <w:rFonts w:hint="eastAsia" w:ascii="宋体" w:hAnsi="宋体" w:cs="宋体"/>
          <w:color w:val="000000" w:themeColor="text1"/>
          <w:kern w:val="0"/>
          <w:sz w:val="24"/>
          <w:u w:val="none"/>
          <w14:textFill>
            <w14:solidFill>
              <w14:schemeClr w14:val="tx1"/>
            </w14:solidFill>
          </w14:textFill>
        </w:rPr>
        <w:fldChar w:fldCharType="begin"/>
      </w:r>
      <w:r>
        <w:rPr>
          <w:rStyle w:val="39"/>
          <w:rFonts w:hint="eastAsia" w:ascii="宋体" w:hAnsi="宋体" w:cs="宋体"/>
          <w:color w:val="000000" w:themeColor="text1"/>
          <w:kern w:val="0"/>
          <w:sz w:val="24"/>
          <w:u w:val="none"/>
          <w14:textFill>
            <w14:solidFill>
              <w14:schemeClr w14:val="tx1"/>
            </w14:solidFill>
          </w14:textFill>
        </w:rPr>
        <w:instrText xml:space="preserve"> PAGEREF _Toc11753 \h </w:instrText>
      </w:r>
      <w:r>
        <w:rPr>
          <w:rStyle w:val="39"/>
          <w:rFonts w:hint="eastAsia" w:ascii="宋体" w:hAnsi="宋体" w:cs="宋体"/>
          <w:color w:val="000000" w:themeColor="text1"/>
          <w:kern w:val="0"/>
          <w:sz w:val="24"/>
          <w:u w:val="none"/>
          <w14:textFill>
            <w14:solidFill>
              <w14:schemeClr w14:val="tx1"/>
            </w14:solidFill>
          </w14:textFill>
        </w:rPr>
        <w:fldChar w:fldCharType="separate"/>
      </w:r>
      <w:r>
        <w:rPr>
          <w:rStyle w:val="39"/>
          <w:rFonts w:hint="eastAsia" w:ascii="宋体" w:hAnsi="宋体" w:cs="宋体"/>
          <w:color w:val="000000" w:themeColor="text1"/>
          <w:kern w:val="0"/>
          <w:sz w:val="24"/>
          <w:u w:val="none"/>
          <w14:textFill>
            <w14:solidFill>
              <w14:schemeClr w14:val="tx1"/>
            </w14:solidFill>
          </w14:textFill>
        </w:rPr>
        <w:t>24</w:t>
      </w:r>
      <w:r>
        <w:rPr>
          <w:rStyle w:val="39"/>
          <w:rFonts w:hint="eastAsia" w:ascii="宋体" w:hAnsi="宋体" w:cs="宋体"/>
          <w:color w:val="000000" w:themeColor="text1"/>
          <w:kern w:val="0"/>
          <w:sz w:val="24"/>
          <w:u w:val="none"/>
          <w14:textFill>
            <w14:solidFill>
              <w14:schemeClr w14:val="tx1"/>
            </w14:solidFill>
          </w14:textFill>
        </w:rPr>
        <w:fldChar w:fldCharType="end"/>
      </w:r>
      <w:r>
        <w:rPr>
          <w:rStyle w:val="39"/>
          <w:rFonts w:hint="eastAsia" w:ascii="宋体" w:hAnsi="宋体" w:cs="宋体"/>
          <w:color w:val="000000" w:themeColor="text1"/>
          <w:kern w:val="0"/>
          <w:sz w:val="24"/>
          <w:u w:val="none"/>
          <w14:textFill>
            <w14:solidFill>
              <w14:schemeClr w14:val="tx1"/>
            </w14:solidFill>
          </w14:textFill>
        </w:rPr>
        <w:fldChar w:fldCharType="end"/>
      </w:r>
    </w:p>
    <w:p w14:paraId="1C5DD378">
      <w:pPr>
        <w:pStyle w:val="21"/>
        <w:tabs>
          <w:tab w:val="right" w:leader="dot" w:pos="8890"/>
        </w:tabs>
        <w:spacing w:line="480" w:lineRule="auto"/>
        <w:ind w:firstLine="420" w:firstLineChars="200"/>
        <w:rPr>
          <w:rStyle w:val="39"/>
          <w:rFonts w:ascii="宋体" w:hAnsi="宋体" w:cs="宋体"/>
          <w:color w:val="000000" w:themeColor="text1"/>
          <w:kern w:val="0"/>
          <w:sz w:val="24"/>
          <w:u w:val="none"/>
          <w14:textFill>
            <w14:solidFill>
              <w14:schemeClr w14:val="tx1"/>
            </w14:solidFill>
          </w14:textFill>
        </w:rPr>
      </w:pPr>
      <w:r>
        <w:fldChar w:fldCharType="begin"/>
      </w:r>
      <w:r>
        <w:instrText xml:space="preserve"> HYPERLINK \l "_Toc2271" </w:instrText>
      </w:r>
      <w:r>
        <w:fldChar w:fldCharType="separate"/>
      </w:r>
      <w:r>
        <w:rPr>
          <w:rStyle w:val="39"/>
          <w:rFonts w:hint="eastAsia" w:ascii="宋体" w:hAnsi="宋体" w:cs="宋体"/>
          <w:color w:val="000000" w:themeColor="text1"/>
          <w:kern w:val="0"/>
          <w:sz w:val="24"/>
          <w:u w:val="none"/>
          <w14:textFill>
            <w14:solidFill>
              <w14:schemeClr w14:val="tx1"/>
            </w14:solidFill>
          </w14:textFill>
        </w:rPr>
        <w:t>第五部分  采购内容及要求</w:t>
      </w:r>
      <w:r>
        <w:rPr>
          <w:rStyle w:val="39"/>
          <w:rFonts w:hint="eastAsia" w:ascii="宋体" w:hAnsi="宋体" w:cs="宋体"/>
          <w:color w:val="000000" w:themeColor="text1"/>
          <w:kern w:val="0"/>
          <w:sz w:val="24"/>
          <w:u w:val="none"/>
          <w14:textFill>
            <w14:solidFill>
              <w14:schemeClr w14:val="tx1"/>
            </w14:solidFill>
          </w14:textFill>
        </w:rPr>
        <w:tab/>
      </w:r>
      <w:r>
        <w:rPr>
          <w:rStyle w:val="39"/>
          <w:rFonts w:hint="eastAsia" w:ascii="宋体" w:hAnsi="宋体" w:cs="宋体"/>
          <w:color w:val="000000" w:themeColor="text1"/>
          <w:kern w:val="0"/>
          <w:sz w:val="24"/>
          <w:u w:val="none"/>
          <w14:textFill>
            <w14:solidFill>
              <w14:schemeClr w14:val="tx1"/>
            </w14:solidFill>
          </w14:textFill>
        </w:rPr>
        <w:fldChar w:fldCharType="begin"/>
      </w:r>
      <w:r>
        <w:rPr>
          <w:rStyle w:val="39"/>
          <w:rFonts w:hint="eastAsia" w:ascii="宋体" w:hAnsi="宋体" w:cs="宋体"/>
          <w:color w:val="000000" w:themeColor="text1"/>
          <w:kern w:val="0"/>
          <w:sz w:val="24"/>
          <w:u w:val="none"/>
          <w14:textFill>
            <w14:solidFill>
              <w14:schemeClr w14:val="tx1"/>
            </w14:solidFill>
          </w14:textFill>
        </w:rPr>
        <w:instrText xml:space="preserve"> PAGEREF _Toc2271 \h </w:instrText>
      </w:r>
      <w:r>
        <w:rPr>
          <w:rStyle w:val="39"/>
          <w:rFonts w:hint="eastAsia" w:ascii="宋体" w:hAnsi="宋体" w:cs="宋体"/>
          <w:color w:val="000000" w:themeColor="text1"/>
          <w:kern w:val="0"/>
          <w:sz w:val="24"/>
          <w:u w:val="none"/>
          <w14:textFill>
            <w14:solidFill>
              <w14:schemeClr w14:val="tx1"/>
            </w14:solidFill>
          </w14:textFill>
        </w:rPr>
        <w:fldChar w:fldCharType="separate"/>
      </w:r>
      <w:r>
        <w:rPr>
          <w:rStyle w:val="39"/>
          <w:rFonts w:hint="eastAsia" w:ascii="宋体" w:hAnsi="宋体" w:cs="宋体"/>
          <w:color w:val="000000" w:themeColor="text1"/>
          <w:kern w:val="0"/>
          <w:sz w:val="24"/>
          <w:u w:val="none"/>
          <w14:textFill>
            <w14:solidFill>
              <w14:schemeClr w14:val="tx1"/>
            </w14:solidFill>
          </w14:textFill>
        </w:rPr>
        <w:t>25</w:t>
      </w:r>
      <w:r>
        <w:rPr>
          <w:rStyle w:val="39"/>
          <w:rFonts w:hint="eastAsia" w:ascii="宋体" w:hAnsi="宋体" w:cs="宋体"/>
          <w:color w:val="000000" w:themeColor="text1"/>
          <w:kern w:val="0"/>
          <w:sz w:val="24"/>
          <w:u w:val="none"/>
          <w14:textFill>
            <w14:solidFill>
              <w14:schemeClr w14:val="tx1"/>
            </w14:solidFill>
          </w14:textFill>
        </w:rPr>
        <w:fldChar w:fldCharType="end"/>
      </w:r>
      <w:r>
        <w:rPr>
          <w:rStyle w:val="39"/>
          <w:rFonts w:hint="eastAsia" w:ascii="宋体" w:hAnsi="宋体" w:cs="宋体"/>
          <w:color w:val="000000" w:themeColor="text1"/>
          <w:kern w:val="0"/>
          <w:sz w:val="24"/>
          <w:u w:val="none"/>
          <w14:textFill>
            <w14:solidFill>
              <w14:schemeClr w14:val="tx1"/>
            </w14:solidFill>
          </w14:textFill>
        </w:rPr>
        <w:fldChar w:fldCharType="end"/>
      </w:r>
    </w:p>
    <w:p w14:paraId="08EADFE7">
      <w:pPr>
        <w:pStyle w:val="21"/>
        <w:tabs>
          <w:tab w:val="right" w:leader="dot" w:pos="8890"/>
        </w:tabs>
        <w:spacing w:line="480" w:lineRule="auto"/>
        <w:ind w:firstLine="420" w:firstLineChars="200"/>
        <w:rPr>
          <w:rStyle w:val="39"/>
          <w:rFonts w:ascii="宋体" w:hAnsi="宋体" w:cs="宋体"/>
          <w:color w:val="000000" w:themeColor="text1"/>
          <w:kern w:val="0"/>
          <w:sz w:val="24"/>
          <w:u w:val="none"/>
          <w14:textFill>
            <w14:solidFill>
              <w14:schemeClr w14:val="tx1"/>
            </w14:solidFill>
          </w14:textFill>
        </w:rPr>
      </w:pPr>
      <w:r>
        <w:fldChar w:fldCharType="begin"/>
      </w:r>
      <w:r>
        <w:instrText xml:space="preserve"> HYPERLINK \l "_Toc27476" </w:instrText>
      </w:r>
      <w:r>
        <w:fldChar w:fldCharType="separate"/>
      </w:r>
      <w:r>
        <w:rPr>
          <w:rStyle w:val="39"/>
          <w:rFonts w:hint="eastAsia" w:ascii="宋体" w:hAnsi="宋体" w:cs="宋体"/>
          <w:color w:val="000000" w:themeColor="text1"/>
          <w:kern w:val="0"/>
          <w:sz w:val="24"/>
          <w:u w:val="none"/>
          <w14:textFill>
            <w14:solidFill>
              <w14:schemeClr w14:val="tx1"/>
            </w14:solidFill>
          </w14:textFill>
        </w:rPr>
        <w:t>第六部分 合同格式及主要条款</w:t>
      </w:r>
      <w:r>
        <w:rPr>
          <w:rStyle w:val="39"/>
          <w:rFonts w:hint="eastAsia" w:ascii="宋体" w:hAnsi="宋体" w:cs="宋体"/>
          <w:color w:val="000000" w:themeColor="text1"/>
          <w:kern w:val="0"/>
          <w:sz w:val="24"/>
          <w:u w:val="none"/>
          <w14:textFill>
            <w14:solidFill>
              <w14:schemeClr w14:val="tx1"/>
            </w14:solidFill>
          </w14:textFill>
        </w:rPr>
        <w:tab/>
      </w:r>
      <w:r>
        <w:rPr>
          <w:rStyle w:val="39"/>
          <w:rFonts w:hint="eastAsia" w:ascii="宋体" w:hAnsi="宋体" w:cs="宋体"/>
          <w:color w:val="000000" w:themeColor="text1"/>
          <w:kern w:val="0"/>
          <w:sz w:val="24"/>
          <w:u w:val="none"/>
          <w14:textFill>
            <w14:solidFill>
              <w14:schemeClr w14:val="tx1"/>
            </w14:solidFill>
          </w14:textFill>
        </w:rPr>
        <w:fldChar w:fldCharType="begin"/>
      </w:r>
      <w:r>
        <w:rPr>
          <w:rStyle w:val="39"/>
          <w:rFonts w:hint="eastAsia" w:ascii="宋体" w:hAnsi="宋体" w:cs="宋体"/>
          <w:color w:val="000000" w:themeColor="text1"/>
          <w:kern w:val="0"/>
          <w:sz w:val="24"/>
          <w:u w:val="none"/>
          <w14:textFill>
            <w14:solidFill>
              <w14:schemeClr w14:val="tx1"/>
            </w14:solidFill>
          </w14:textFill>
        </w:rPr>
        <w:instrText xml:space="preserve"> PAGEREF _Toc27476 \h </w:instrText>
      </w:r>
      <w:r>
        <w:rPr>
          <w:rStyle w:val="39"/>
          <w:rFonts w:hint="eastAsia" w:ascii="宋体" w:hAnsi="宋体" w:cs="宋体"/>
          <w:color w:val="000000" w:themeColor="text1"/>
          <w:kern w:val="0"/>
          <w:sz w:val="24"/>
          <w:u w:val="none"/>
          <w14:textFill>
            <w14:solidFill>
              <w14:schemeClr w14:val="tx1"/>
            </w14:solidFill>
          </w14:textFill>
        </w:rPr>
        <w:fldChar w:fldCharType="separate"/>
      </w:r>
      <w:r>
        <w:rPr>
          <w:rStyle w:val="39"/>
          <w:rFonts w:hint="eastAsia" w:ascii="宋体" w:hAnsi="宋体" w:cs="宋体"/>
          <w:color w:val="000000" w:themeColor="text1"/>
          <w:kern w:val="0"/>
          <w:sz w:val="24"/>
          <w:u w:val="none"/>
          <w14:textFill>
            <w14:solidFill>
              <w14:schemeClr w14:val="tx1"/>
            </w14:solidFill>
          </w14:textFill>
        </w:rPr>
        <w:t>26</w:t>
      </w:r>
      <w:r>
        <w:rPr>
          <w:rStyle w:val="39"/>
          <w:rFonts w:hint="eastAsia" w:ascii="宋体" w:hAnsi="宋体" w:cs="宋体"/>
          <w:color w:val="000000" w:themeColor="text1"/>
          <w:kern w:val="0"/>
          <w:sz w:val="24"/>
          <w:u w:val="none"/>
          <w14:textFill>
            <w14:solidFill>
              <w14:schemeClr w14:val="tx1"/>
            </w14:solidFill>
          </w14:textFill>
        </w:rPr>
        <w:fldChar w:fldCharType="end"/>
      </w:r>
      <w:r>
        <w:rPr>
          <w:rStyle w:val="39"/>
          <w:rFonts w:hint="eastAsia" w:ascii="宋体" w:hAnsi="宋体" w:cs="宋体"/>
          <w:color w:val="000000" w:themeColor="text1"/>
          <w:kern w:val="0"/>
          <w:sz w:val="24"/>
          <w:u w:val="none"/>
          <w14:textFill>
            <w14:solidFill>
              <w14:schemeClr w14:val="tx1"/>
            </w14:solidFill>
          </w14:textFill>
        </w:rPr>
        <w:fldChar w:fldCharType="end"/>
      </w:r>
    </w:p>
    <w:p w14:paraId="359401BD">
      <w:pPr>
        <w:pStyle w:val="21"/>
        <w:tabs>
          <w:tab w:val="right" w:leader="dot" w:pos="8890"/>
        </w:tabs>
        <w:spacing w:line="480" w:lineRule="auto"/>
        <w:ind w:firstLine="420" w:firstLineChars="200"/>
        <w:rPr>
          <w:rStyle w:val="39"/>
          <w:rFonts w:ascii="宋体" w:hAnsi="宋体" w:cs="宋体"/>
          <w:color w:val="000000" w:themeColor="text1"/>
          <w:kern w:val="0"/>
          <w:sz w:val="24"/>
          <w:u w:val="none"/>
          <w14:textFill>
            <w14:solidFill>
              <w14:schemeClr w14:val="tx1"/>
            </w14:solidFill>
          </w14:textFill>
        </w:rPr>
      </w:pPr>
      <w:r>
        <w:fldChar w:fldCharType="begin"/>
      </w:r>
      <w:r>
        <w:instrText xml:space="preserve"> HYPERLINK \l "_Toc27415" </w:instrText>
      </w:r>
      <w:r>
        <w:fldChar w:fldCharType="separate"/>
      </w:r>
      <w:r>
        <w:rPr>
          <w:rStyle w:val="39"/>
          <w:rFonts w:hint="eastAsia" w:ascii="宋体" w:hAnsi="宋体" w:cs="宋体"/>
          <w:color w:val="000000" w:themeColor="text1"/>
          <w:kern w:val="0"/>
          <w:sz w:val="24"/>
          <w:u w:val="none"/>
          <w14:textFill>
            <w14:solidFill>
              <w14:schemeClr w14:val="tx1"/>
            </w14:solidFill>
          </w14:textFill>
        </w:rPr>
        <w:t>第七部分 履约验收</w:t>
      </w:r>
      <w:r>
        <w:rPr>
          <w:rStyle w:val="39"/>
          <w:rFonts w:hint="eastAsia" w:ascii="宋体" w:hAnsi="宋体" w:cs="宋体"/>
          <w:color w:val="000000" w:themeColor="text1"/>
          <w:kern w:val="0"/>
          <w:sz w:val="24"/>
          <w:u w:val="none"/>
          <w14:textFill>
            <w14:solidFill>
              <w14:schemeClr w14:val="tx1"/>
            </w14:solidFill>
          </w14:textFill>
        </w:rPr>
        <w:tab/>
      </w:r>
      <w:r>
        <w:rPr>
          <w:rStyle w:val="39"/>
          <w:rFonts w:hint="eastAsia" w:ascii="宋体" w:hAnsi="宋体" w:cs="宋体"/>
          <w:color w:val="000000" w:themeColor="text1"/>
          <w:kern w:val="0"/>
          <w:sz w:val="24"/>
          <w:u w:val="none"/>
          <w14:textFill>
            <w14:solidFill>
              <w14:schemeClr w14:val="tx1"/>
            </w14:solidFill>
          </w14:textFill>
        </w:rPr>
        <w:fldChar w:fldCharType="begin"/>
      </w:r>
      <w:r>
        <w:rPr>
          <w:rStyle w:val="39"/>
          <w:rFonts w:hint="eastAsia" w:ascii="宋体" w:hAnsi="宋体" w:cs="宋体"/>
          <w:color w:val="000000" w:themeColor="text1"/>
          <w:kern w:val="0"/>
          <w:sz w:val="24"/>
          <w:u w:val="none"/>
          <w14:textFill>
            <w14:solidFill>
              <w14:schemeClr w14:val="tx1"/>
            </w14:solidFill>
          </w14:textFill>
        </w:rPr>
        <w:instrText xml:space="preserve"> PAGEREF _Toc27415 \h </w:instrText>
      </w:r>
      <w:r>
        <w:rPr>
          <w:rStyle w:val="39"/>
          <w:rFonts w:hint="eastAsia" w:ascii="宋体" w:hAnsi="宋体" w:cs="宋体"/>
          <w:color w:val="000000" w:themeColor="text1"/>
          <w:kern w:val="0"/>
          <w:sz w:val="24"/>
          <w:u w:val="none"/>
          <w14:textFill>
            <w14:solidFill>
              <w14:schemeClr w14:val="tx1"/>
            </w14:solidFill>
          </w14:textFill>
        </w:rPr>
        <w:fldChar w:fldCharType="separate"/>
      </w:r>
      <w:r>
        <w:rPr>
          <w:rStyle w:val="39"/>
          <w:rFonts w:hint="eastAsia" w:ascii="宋体" w:hAnsi="宋体" w:cs="宋体"/>
          <w:color w:val="000000" w:themeColor="text1"/>
          <w:kern w:val="0"/>
          <w:sz w:val="24"/>
          <w:u w:val="none"/>
          <w14:textFill>
            <w14:solidFill>
              <w14:schemeClr w14:val="tx1"/>
            </w14:solidFill>
          </w14:textFill>
        </w:rPr>
        <w:t>33</w:t>
      </w:r>
      <w:r>
        <w:rPr>
          <w:rStyle w:val="39"/>
          <w:rFonts w:hint="eastAsia" w:ascii="宋体" w:hAnsi="宋体" w:cs="宋体"/>
          <w:color w:val="000000" w:themeColor="text1"/>
          <w:kern w:val="0"/>
          <w:sz w:val="24"/>
          <w:u w:val="none"/>
          <w14:textFill>
            <w14:solidFill>
              <w14:schemeClr w14:val="tx1"/>
            </w14:solidFill>
          </w14:textFill>
        </w:rPr>
        <w:fldChar w:fldCharType="end"/>
      </w:r>
      <w:r>
        <w:rPr>
          <w:rStyle w:val="39"/>
          <w:rFonts w:hint="eastAsia" w:ascii="宋体" w:hAnsi="宋体" w:cs="宋体"/>
          <w:color w:val="000000" w:themeColor="text1"/>
          <w:kern w:val="0"/>
          <w:sz w:val="24"/>
          <w:u w:val="none"/>
          <w14:textFill>
            <w14:solidFill>
              <w14:schemeClr w14:val="tx1"/>
            </w14:solidFill>
          </w14:textFill>
        </w:rPr>
        <w:fldChar w:fldCharType="end"/>
      </w:r>
    </w:p>
    <w:p w14:paraId="6620831B">
      <w:pPr>
        <w:pStyle w:val="21"/>
        <w:tabs>
          <w:tab w:val="right" w:leader="dot" w:pos="8890"/>
        </w:tabs>
        <w:spacing w:line="480" w:lineRule="auto"/>
        <w:ind w:firstLine="420" w:firstLineChars="200"/>
        <w:rPr>
          <w:rStyle w:val="39"/>
          <w:rFonts w:ascii="宋体" w:hAnsi="宋体" w:cs="宋体"/>
          <w:color w:val="000000" w:themeColor="text1"/>
          <w:kern w:val="0"/>
          <w:sz w:val="24"/>
          <w:u w:val="none"/>
          <w14:textFill>
            <w14:solidFill>
              <w14:schemeClr w14:val="tx1"/>
            </w14:solidFill>
          </w14:textFill>
        </w:rPr>
      </w:pPr>
      <w:r>
        <w:fldChar w:fldCharType="begin"/>
      </w:r>
      <w:r>
        <w:instrText xml:space="preserve"> HYPERLINK \l "_Toc30461" </w:instrText>
      </w:r>
      <w:r>
        <w:fldChar w:fldCharType="separate"/>
      </w:r>
      <w:r>
        <w:rPr>
          <w:rStyle w:val="39"/>
          <w:rFonts w:hint="eastAsia" w:ascii="宋体" w:hAnsi="宋体" w:cs="宋体"/>
          <w:color w:val="000000" w:themeColor="text1"/>
          <w:kern w:val="0"/>
          <w:sz w:val="24"/>
          <w:u w:val="none"/>
          <w14:textFill>
            <w14:solidFill>
              <w14:schemeClr w14:val="tx1"/>
            </w14:solidFill>
          </w14:textFill>
        </w:rPr>
        <w:t>第八部分  附件—供应商响应文件格式</w:t>
      </w:r>
      <w:r>
        <w:rPr>
          <w:rStyle w:val="39"/>
          <w:rFonts w:hint="eastAsia" w:ascii="宋体" w:hAnsi="宋体" w:cs="宋体"/>
          <w:color w:val="000000" w:themeColor="text1"/>
          <w:kern w:val="0"/>
          <w:sz w:val="24"/>
          <w:u w:val="none"/>
          <w14:textFill>
            <w14:solidFill>
              <w14:schemeClr w14:val="tx1"/>
            </w14:solidFill>
          </w14:textFill>
        </w:rPr>
        <w:tab/>
      </w:r>
      <w:r>
        <w:rPr>
          <w:rStyle w:val="39"/>
          <w:rFonts w:hint="eastAsia" w:ascii="宋体" w:hAnsi="宋体" w:cs="宋体"/>
          <w:color w:val="000000" w:themeColor="text1"/>
          <w:kern w:val="0"/>
          <w:sz w:val="24"/>
          <w:u w:val="none"/>
          <w14:textFill>
            <w14:solidFill>
              <w14:schemeClr w14:val="tx1"/>
            </w14:solidFill>
          </w14:textFill>
        </w:rPr>
        <w:fldChar w:fldCharType="begin"/>
      </w:r>
      <w:r>
        <w:rPr>
          <w:rStyle w:val="39"/>
          <w:rFonts w:hint="eastAsia" w:ascii="宋体" w:hAnsi="宋体" w:cs="宋体"/>
          <w:color w:val="000000" w:themeColor="text1"/>
          <w:kern w:val="0"/>
          <w:sz w:val="24"/>
          <w:u w:val="none"/>
          <w14:textFill>
            <w14:solidFill>
              <w14:schemeClr w14:val="tx1"/>
            </w14:solidFill>
          </w14:textFill>
        </w:rPr>
        <w:instrText xml:space="preserve"> PAGEREF _Toc30461 \h </w:instrText>
      </w:r>
      <w:r>
        <w:rPr>
          <w:rStyle w:val="39"/>
          <w:rFonts w:hint="eastAsia" w:ascii="宋体" w:hAnsi="宋体" w:cs="宋体"/>
          <w:color w:val="000000" w:themeColor="text1"/>
          <w:kern w:val="0"/>
          <w:sz w:val="24"/>
          <w:u w:val="none"/>
          <w14:textFill>
            <w14:solidFill>
              <w14:schemeClr w14:val="tx1"/>
            </w14:solidFill>
          </w14:textFill>
        </w:rPr>
        <w:fldChar w:fldCharType="separate"/>
      </w:r>
      <w:r>
        <w:rPr>
          <w:rStyle w:val="39"/>
          <w:rFonts w:hint="eastAsia" w:ascii="宋体" w:hAnsi="宋体" w:cs="宋体"/>
          <w:color w:val="000000" w:themeColor="text1"/>
          <w:kern w:val="0"/>
          <w:sz w:val="24"/>
          <w:u w:val="none"/>
          <w14:textFill>
            <w14:solidFill>
              <w14:schemeClr w14:val="tx1"/>
            </w14:solidFill>
          </w14:textFill>
        </w:rPr>
        <w:t>34</w:t>
      </w:r>
      <w:r>
        <w:rPr>
          <w:rStyle w:val="39"/>
          <w:rFonts w:hint="eastAsia" w:ascii="宋体" w:hAnsi="宋体" w:cs="宋体"/>
          <w:color w:val="000000" w:themeColor="text1"/>
          <w:kern w:val="0"/>
          <w:sz w:val="24"/>
          <w:u w:val="none"/>
          <w14:textFill>
            <w14:solidFill>
              <w14:schemeClr w14:val="tx1"/>
            </w14:solidFill>
          </w14:textFill>
        </w:rPr>
        <w:fldChar w:fldCharType="end"/>
      </w:r>
      <w:r>
        <w:rPr>
          <w:rStyle w:val="39"/>
          <w:rFonts w:hint="eastAsia" w:ascii="宋体" w:hAnsi="宋体" w:cs="宋体"/>
          <w:color w:val="000000" w:themeColor="text1"/>
          <w:kern w:val="0"/>
          <w:sz w:val="24"/>
          <w:u w:val="none"/>
          <w14:textFill>
            <w14:solidFill>
              <w14:schemeClr w14:val="tx1"/>
            </w14:solidFill>
          </w14:textFill>
        </w:rPr>
        <w:fldChar w:fldCharType="end"/>
      </w:r>
    </w:p>
    <w:p w14:paraId="4A1C6EDD">
      <w:pPr>
        <w:pStyle w:val="21"/>
        <w:tabs>
          <w:tab w:val="right" w:leader="dot" w:pos="8890"/>
        </w:tabs>
        <w:spacing w:line="480" w:lineRule="auto"/>
        <w:ind w:firstLine="420" w:firstLineChars="200"/>
        <w:rPr>
          <w:rStyle w:val="39"/>
          <w:rFonts w:ascii="宋体" w:hAnsi="宋体" w:cs="宋体"/>
          <w:color w:val="000000" w:themeColor="text1"/>
          <w:kern w:val="0"/>
          <w:sz w:val="24"/>
          <w:u w:val="none"/>
          <w14:textFill>
            <w14:solidFill>
              <w14:schemeClr w14:val="tx1"/>
            </w14:solidFill>
          </w14:textFill>
        </w:rPr>
      </w:pPr>
      <w:r>
        <w:fldChar w:fldCharType="begin"/>
      </w:r>
      <w:r>
        <w:instrText xml:space="preserve"> HYPERLINK \l "_Toc21790" </w:instrText>
      </w:r>
      <w:r>
        <w:fldChar w:fldCharType="separate"/>
      </w:r>
      <w:r>
        <w:rPr>
          <w:rStyle w:val="39"/>
          <w:rFonts w:hint="eastAsia" w:ascii="宋体" w:hAnsi="宋体" w:cs="宋体"/>
          <w:color w:val="000000" w:themeColor="text1"/>
          <w:kern w:val="0"/>
          <w:sz w:val="24"/>
          <w:u w:val="none"/>
          <w14:textFill>
            <w14:solidFill>
              <w14:schemeClr w14:val="tx1"/>
            </w14:solidFill>
          </w14:textFill>
        </w:rPr>
        <w:t>优化和提升政府采购政策</w:t>
      </w:r>
      <w:r>
        <w:rPr>
          <w:rStyle w:val="39"/>
          <w:rFonts w:hint="eastAsia" w:ascii="宋体" w:hAnsi="宋体" w:cs="宋体"/>
          <w:color w:val="000000" w:themeColor="text1"/>
          <w:kern w:val="0"/>
          <w:sz w:val="24"/>
          <w:u w:val="none"/>
          <w14:textFill>
            <w14:solidFill>
              <w14:schemeClr w14:val="tx1"/>
            </w14:solidFill>
          </w14:textFill>
        </w:rPr>
        <w:tab/>
      </w:r>
      <w:r>
        <w:rPr>
          <w:rStyle w:val="39"/>
          <w:rFonts w:hint="eastAsia" w:ascii="宋体" w:hAnsi="宋体" w:cs="宋体"/>
          <w:color w:val="000000" w:themeColor="text1"/>
          <w:kern w:val="0"/>
          <w:sz w:val="24"/>
          <w:u w:val="none"/>
          <w14:textFill>
            <w14:solidFill>
              <w14:schemeClr w14:val="tx1"/>
            </w14:solidFill>
          </w14:textFill>
        </w:rPr>
        <w:fldChar w:fldCharType="begin"/>
      </w:r>
      <w:r>
        <w:rPr>
          <w:rStyle w:val="39"/>
          <w:rFonts w:hint="eastAsia" w:ascii="宋体" w:hAnsi="宋体" w:cs="宋体"/>
          <w:color w:val="000000" w:themeColor="text1"/>
          <w:kern w:val="0"/>
          <w:sz w:val="24"/>
          <w:u w:val="none"/>
          <w14:textFill>
            <w14:solidFill>
              <w14:schemeClr w14:val="tx1"/>
            </w14:solidFill>
          </w14:textFill>
        </w:rPr>
        <w:instrText xml:space="preserve"> PAGEREF _Toc21790 \h </w:instrText>
      </w:r>
      <w:r>
        <w:rPr>
          <w:rStyle w:val="39"/>
          <w:rFonts w:hint="eastAsia" w:ascii="宋体" w:hAnsi="宋体" w:cs="宋体"/>
          <w:color w:val="000000" w:themeColor="text1"/>
          <w:kern w:val="0"/>
          <w:sz w:val="24"/>
          <w:u w:val="none"/>
          <w14:textFill>
            <w14:solidFill>
              <w14:schemeClr w14:val="tx1"/>
            </w14:solidFill>
          </w14:textFill>
        </w:rPr>
        <w:fldChar w:fldCharType="separate"/>
      </w:r>
      <w:r>
        <w:rPr>
          <w:rStyle w:val="39"/>
          <w:rFonts w:hint="eastAsia" w:ascii="宋体" w:hAnsi="宋体" w:cs="宋体"/>
          <w:color w:val="000000" w:themeColor="text1"/>
          <w:kern w:val="0"/>
          <w:sz w:val="24"/>
          <w:u w:val="none"/>
          <w14:textFill>
            <w14:solidFill>
              <w14:schemeClr w14:val="tx1"/>
            </w14:solidFill>
          </w14:textFill>
        </w:rPr>
        <w:t>50</w:t>
      </w:r>
      <w:r>
        <w:rPr>
          <w:rStyle w:val="39"/>
          <w:rFonts w:hint="eastAsia" w:ascii="宋体" w:hAnsi="宋体" w:cs="宋体"/>
          <w:color w:val="000000" w:themeColor="text1"/>
          <w:kern w:val="0"/>
          <w:sz w:val="24"/>
          <w:u w:val="none"/>
          <w14:textFill>
            <w14:solidFill>
              <w14:schemeClr w14:val="tx1"/>
            </w14:solidFill>
          </w14:textFill>
        </w:rPr>
        <w:fldChar w:fldCharType="end"/>
      </w:r>
      <w:r>
        <w:rPr>
          <w:rStyle w:val="39"/>
          <w:rFonts w:hint="eastAsia" w:ascii="宋体" w:hAnsi="宋体" w:cs="宋体"/>
          <w:color w:val="000000" w:themeColor="text1"/>
          <w:kern w:val="0"/>
          <w:sz w:val="24"/>
          <w:u w:val="none"/>
          <w14:textFill>
            <w14:solidFill>
              <w14:schemeClr w14:val="tx1"/>
            </w14:solidFill>
          </w14:textFill>
        </w:rPr>
        <w:fldChar w:fldCharType="end"/>
      </w:r>
    </w:p>
    <w:p w14:paraId="3D99EF31">
      <w:pPr>
        <w:pStyle w:val="21"/>
        <w:tabs>
          <w:tab w:val="right" w:leader="dot" w:pos="8890"/>
        </w:tabs>
        <w:spacing w:line="480" w:lineRule="auto"/>
        <w:ind w:firstLine="480" w:firstLineChars="200"/>
        <w:rPr>
          <w:color w:val="000000" w:themeColor="text1"/>
          <w:sz w:val="24"/>
          <w14:textFill>
            <w14:solidFill>
              <w14:schemeClr w14:val="tx1"/>
            </w14:solidFill>
          </w14:textFill>
        </w:rPr>
      </w:pPr>
      <w:r>
        <w:rPr>
          <w:rStyle w:val="39"/>
          <w:rFonts w:hint="eastAsia" w:ascii="宋体" w:hAnsi="宋体" w:cs="宋体"/>
          <w:color w:val="000000" w:themeColor="text1"/>
          <w:kern w:val="0"/>
          <w:sz w:val="24"/>
          <w:u w:val="none"/>
          <w14:textFill>
            <w14:solidFill>
              <w14:schemeClr w14:val="tx1"/>
            </w14:solidFill>
          </w14:textFill>
        </w:rPr>
        <w:fldChar w:fldCharType="end"/>
      </w:r>
    </w:p>
    <w:p w14:paraId="785FE9CB">
      <w:pPr>
        <w:spacing w:line="360" w:lineRule="auto"/>
        <w:jc w:val="center"/>
        <w:rPr>
          <w:rFonts w:ascii="微软雅黑" w:hAnsi="微软雅黑" w:eastAsia="微软雅黑" w:cs="微软雅黑"/>
          <w:color w:val="000000" w:themeColor="text1"/>
          <w:sz w:val="36"/>
          <w:szCs w:val="36"/>
          <w14:textFill>
            <w14:solidFill>
              <w14:schemeClr w14:val="tx1"/>
            </w14:solidFill>
          </w14:textFill>
        </w:rPr>
        <w:sectPr>
          <w:footerReference r:id="rId5" w:type="first"/>
          <w:headerReference r:id="rId3" w:type="default"/>
          <w:footerReference r:id="rId4" w:type="default"/>
          <w:endnotePr>
            <w:numFmt w:val="decimal"/>
          </w:endnotePr>
          <w:pgSz w:w="11905" w:h="16838"/>
          <w:pgMar w:top="1440" w:right="1463" w:bottom="1440" w:left="1463" w:header="567" w:footer="998" w:gutter="0"/>
          <w:pgNumType w:fmt="numberInDash" w:start="1"/>
          <w:cols w:space="0" w:num="1"/>
          <w:docGrid w:type="lines" w:linePitch="389" w:charSpace="0"/>
        </w:sectPr>
      </w:pPr>
      <w:bookmarkStart w:id="0" w:name="_Toc19411"/>
      <w:bookmarkStart w:id="1" w:name="_Toc533668867"/>
      <w:bookmarkStart w:id="2" w:name="_Toc760"/>
    </w:p>
    <w:p w14:paraId="500D5E3D">
      <w:pPr>
        <w:spacing w:line="360" w:lineRule="auto"/>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重要事项提示</w:t>
      </w:r>
    </w:p>
    <w:p w14:paraId="02D5600D">
      <w:pPr>
        <w:rPr>
          <w:color w:val="000000" w:themeColor="text1"/>
          <w14:textFill>
            <w14:solidFill>
              <w14:schemeClr w14:val="tx1"/>
            </w14:solidFill>
          </w14:textFill>
        </w:rPr>
      </w:pPr>
    </w:p>
    <w:p w14:paraId="07A4631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各潜在供应商：</w:t>
      </w:r>
    </w:p>
    <w:p w14:paraId="4EBDAB9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以下环节是此采购文件中需要重点关注的环节，对以下内容的忽视，可能是影响贵公司中标的重要因素。请在编制响应性文件参与政府采购时高度重视。</w:t>
      </w:r>
    </w:p>
    <w:p w14:paraId="1A01D84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1、谈判文件应通过焦作市公共资源交易中心网站会员系统进行网上下载；未使用企业 CA 密匙登录焦作市公共资源交易中心网站会员系统进行网上下载文件的，投标视为无效；</w:t>
      </w:r>
    </w:p>
    <w:p w14:paraId="6D3533E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r>
        <w:rPr>
          <w:rFonts w:hint="eastAsia" w:ascii="宋体" w:hAnsi="宋体" w:eastAsia="宋体" w:cs="宋体"/>
          <w:color w:val="000000" w:themeColor="text1"/>
          <w:sz w:val="24"/>
          <w14:textFill>
            <w14:solidFill>
              <w14:schemeClr w14:val="tx1"/>
            </w14:solidFill>
          </w14:textFill>
        </w:rPr>
        <w:t>（http://ggzy.jiaozuo.gov.cn/BidOpeningHall/bidhall/default/login）</w:t>
      </w:r>
      <w:r>
        <w:rPr>
          <w:rFonts w:hint="eastAsia" w:ascii="宋体" w:hAnsi="宋体" w:cs="宋体"/>
          <w:color w:val="000000" w:themeColor="text1"/>
          <w:sz w:val="24"/>
          <w14:textFill>
            <w14:solidFill>
              <w14:schemeClr w14:val="tx1"/>
            </w14:solidFill>
          </w14:textFill>
        </w:rPr>
        <w:t>按要求解密投标文件。因文件未及时上传导致投标失败的责任由供应商自行承担，具体要求详见</w:t>
      </w:r>
      <w:r>
        <w:rPr>
          <w:rFonts w:hint="eastAsia" w:ascii="宋体" w:hAnsi="宋体"/>
          <w:color w:val="000000" w:themeColor="text1"/>
          <w:kern w:val="0"/>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文件。 平台统一技术服务电话：400-998-0000，服务 QQ：4008503300，服务时间：周一至周日 8：00-17：30。</w:t>
      </w:r>
    </w:p>
    <w:p w14:paraId="1F5AE13A">
      <w:pPr>
        <w:pStyle w:val="24"/>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7A4222E1">
      <w:pPr>
        <w:pStyle w:val="24"/>
        <w:numPr>
          <w:ilvl w:val="0"/>
          <w:numId w:val="1"/>
        </w:numPr>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有下列情形之一的，将作为自动放弃、无效投标或废标处理：</w:t>
      </w:r>
    </w:p>
    <w:p w14:paraId="22CA74E4">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3.1 未按竞争性谈判文件明示的规定签字或盖章的；</w:t>
      </w:r>
    </w:p>
    <w:p w14:paraId="75A355E2">
      <w:pPr>
        <w:widowControl/>
        <w:spacing w:line="360" w:lineRule="auto"/>
        <w:ind w:firstLine="480" w:firstLineChars="20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3.2 响应文件的关键内容（投标报价、合同履行期限、质量要求、品牌、型号等）未填写或填写字迹模糊、达不到采购要求的；</w:t>
      </w:r>
    </w:p>
    <w:p w14:paraId="2347AECB">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3.3 采购报价超出控制价的；</w:t>
      </w:r>
    </w:p>
    <w:p w14:paraId="78EFC411">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3.4 响应文件中对同一项目有两个或多个报价，且未声明哪一个有效的；</w:t>
      </w:r>
    </w:p>
    <w:p w14:paraId="0F262760">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3.5 相关资格证明文件不合格的；</w:t>
      </w:r>
    </w:p>
    <w:p w14:paraId="6750A2DB">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3.6 响应文件中附有采购人不能接受的条件的；</w:t>
      </w:r>
    </w:p>
    <w:p w14:paraId="3694CD0C">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3.7 响应文件有明显不符合竞争性谈判文件其它要求和有关法律法规的；</w:t>
      </w:r>
    </w:p>
    <w:p w14:paraId="0D9D2285">
      <w:pPr>
        <w:widowControl/>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kern w:val="0"/>
          <w:sz w:val="24"/>
          <w14:textFill>
            <w14:solidFill>
              <w14:schemeClr w14:val="tx1"/>
            </w14:solidFill>
          </w14:textFill>
        </w:rPr>
        <w:t>3.8 评标过程中，如因两个或两个以上供应商在同一台计算机或同一个IP上传响应文件，而被不见面开标系统提示为“投标文件制作机器码一致”的，则视其投标无效；</w:t>
      </w:r>
    </w:p>
    <w:p w14:paraId="3C2B93B5">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highlight w:val="none"/>
        </w:rPr>
        <w:t xml:space="preserve">3.9 </w:t>
      </w:r>
      <w:r>
        <w:rPr>
          <w:rFonts w:hint="eastAsia" w:ascii="宋体" w:hAnsi="宋体" w:eastAsia="宋体" w:cs="Times New Roman"/>
          <w:color w:val="auto"/>
          <w:kern w:val="0"/>
          <w:sz w:val="24"/>
          <w:szCs w:val="24"/>
          <w:highlight w:val="none"/>
          <w:lang w:val="en-US" w:eastAsia="zh-CN" w:bidi="ar-SA"/>
        </w:rPr>
        <w:t>在评标过程中出现下列情形之一的，</w:t>
      </w:r>
      <w:r>
        <w:rPr>
          <w:rFonts w:hint="eastAsia" w:ascii="宋体" w:hAnsi="宋体" w:cs="Times New Roman"/>
          <w:color w:val="auto"/>
          <w:kern w:val="0"/>
          <w:sz w:val="24"/>
          <w:szCs w:val="24"/>
          <w:highlight w:val="none"/>
          <w:lang w:val="en-US" w:eastAsia="zh-CN" w:bidi="ar-SA"/>
        </w:rPr>
        <w:t>谈判小组</w:t>
      </w:r>
      <w:r>
        <w:rPr>
          <w:rFonts w:hint="eastAsia" w:ascii="宋体" w:hAnsi="宋体" w:eastAsia="宋体" w:cs="Times New Roman"/>
          <w:color w:val="auto"/>
          <w:kern w:val="0"/>
          <w:sz w:val="24"/>
          <w:szCs w:val="24"/>
          <w:highlight w:val="none"/>
          <w:lang w:val="en-US" w:eastAsia="zh-CN" w:bidi="ar-SA"/>
        </w:rPr>
        <w:t xml:space="preserve">应当启动异常低价投标（ 响应）审查程序： </w:t>
      </w:r>
    </w:p>
    <w:p w14:paraId="6E446051">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cs="Times New Roman"/>
          <w:color w:val="auto"/>
          <w:kern w:val="0"/>
          <w:sz w:val="24"/>
          <w:szCs w:val="24"/>
          <w:highlight w:val="none"/>
          <w:lang w:val="en-US" w:eastAsia="zh-CN" w:bidi="ar-SA"/>
        </w:rPr>
        <w:t>9</w:t>
      </w:r>
      <w:r>
        <w:rPr>
          <w:rFonts w:hint="eastAsia" w:ascii="宋体" w:hAnsi="宋体" w:eastAsia="宋体" w:cs="Times New Roman"/>
          <w:color w:val="auto"/>
          <w:kern w:val="0"/>
          <w:sz w:val="24"/>
          <w:szCs w:val="24"/>
          <w:highlight w:val="none"/>
          <w:lang w:val="en-US" w:eastAsia="zh-CN" w:bidi="ar-SA"/>
        </w:rPr>
        <w:t>.1.投标（响应）报价低于全部通过符合性审查供应商投标（响应）报价平均值</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的，即投标（响应）报价&lt;全部通过符合性审查供应商投标（响应）报价平均值 ×</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 xml:space="preserve">； </w:t>
      </w:r>
    </w:p>
    <w:p w14:paraId="0BEAF920">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cs="Times New Roman"/>
          <w:color w:val="auto"/>
          <w:kern w:val="0"/>
          <w:sz w:val="24"/>
          <w:szCs w:val="24"/>
          <w:highlight w:val="none"/>
          <w:lang w:val="en-US" w:eastAsia="zh-CN" w:bidi="ar-SA"/>
        </w:rPr>
        <w:t>9</w:t>
      </w:r>
      <w:r>
        <w:rPr>
          <w:rFonts w:hint="eastAsia" w:ascii="宋体" w:hAnsi="宋体" w:eastAsia="宋体" w:cs="Times New Roman"/>
          <w:color w:val="auto"/>
          <w:kern w:val="0"/>
          <w:sz w:val="24"/>
          <w:szCs w:val="24"/>
          <w:highlight w:val="none"/>
          <w:lang w:val="en-US" w:eastAsia="zh-CN" w:bidi="ar-SA"/>
        </w:rPr>
        <w:t>.2.投标（响应）报价低于通过符合性审查的次低报价供应商投标（响应）报</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的，即投标（响应）报价&lt;通过符合性审查的次低报价供应商投标（响应）报价 ×</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 xml:space="preserve">； </w:t>
      </w:r>
    </w:p>
    <w:p w14:paraId="047AE4E4">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cs="Times New Roman"/>
          <w:color w:val="auto"/>
          <w:kern w:val="0"/>
          <w:sz w:val="24"/>
          <w:szCs w:val="24"/>
          <w:highlight w:val="none"/>
          <w:lang w:val="en-US" w:eastAsia="zh-CN" w:bidi="ar-SA"/>
        </w:rPr>
        <w:t>9</w:t>
      </w:r>
      <w:r>
        <w:rPr>
          <w:rFonts w:hint="eastAsia" w:ascii="宋体" w:hAnsi="宋体" w:eastAsia="宋体" w:cs="Times New Roman"/>
          <w:color w:val="auto"/>
          <w:kern w:val="0"/>
          <w:sz w:val="24"/>
          <w:szCs w:val="24"/>
          <w:highlight w:val="none"/>
          <w:lang w:val="en-US" w:eastAsia="zh-CN" w:bidi="ar-SA"/>
        </w:rPr>
        <w:t>.3.投标（响应）报价低于采购项目最高限价</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的，即投标（响应）报价&lt;采购项目最高限价×</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 xml:space="preserve">； </w:t>
      </w:r>
    </w:p>
    <w:p w14:paraId="22CEC323">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cs="Times New Roman"/>
          <w:color w:val="auto"/>
          <w:kern w:val="0"/>
          <w:sz w:val="24"/>
          <w:szCs w:val="24"/>
          <w:highlight w:val="none"/>
          <w:lang w:val="en-US" w:eastAsia="zh-CN" w:bidi="ar-SA"/>
        </w:rPr>
        <w:t>9</w:t>
      </w:r>
      <w:r>
        <w:rPr>
          <w:rFonts w:hint="eastAsia" w:ascii="宋体" w:hAnsi="宋体" w:eastAsia="宋体" w:cs="Times New Roman"/>
          <w:color w:val="auto"/>
          <w:kern w:val="0"/>
          <w:sz w:val="24"/>
          <w:szCs w:val="24"/>
          <w:highlight w:val="none"/>
          <w:lang w:val="en-US" w:eastAsia="zh-CN" w:bidi="ar-SA"/>
        </w:rPr>
        <w:t>.4.</w:t>
      </w:r>
      <w:r>
        <w:rPr>
          <w:rFonts w:hint="eastAsia" w:ascii="宋体" w:hAnsi="宋体" w:cs="Times New Roman"/>
          <w:color w:val="auto"/>
          <w:kern w:val="0"/>
          <w:sz w:val="24"/>
          <w:szCs w:val="24"/>
          <w:highlight w:val="none"/>
          <w:lang w:val="en-US" w:eastAsia="zh-CN" w:bidi="ar-SA"/>
        </w:rPr>
        <w:t>谈判小组</w:t>
      </w:r>
      <w:r>
        <w:rPr>
          <w:rFonts w:hint="eastAsia" w:ascii="宋体" w:hAnsi="宋体" w:eastAsia="宋体" w:cs="Times New Roman"/>
          <w:color w:val="auto"/>
          <w:kern w:val="0"/>
          <w:sz w:val="24"/>
          <w:szCs w:val="24"/>
          <w:highlight w:val="none"/>
          <w:lang w:val="en-US" w:eastAsia="zh-CN" w:bidi="ar-SA"/>
        </w:rPr>
        <w:t xml:space="preserve">基于专业判断，认为供应商报价过低，有可能影响产品质量或者不能诚信履约的其他情形。 </w:t>
      </w:r>
    </w:p>
    <w:p w14:paraId="072AFBE1">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lang w:val="en-US" w:eastAsia="zh-CN" w:bidi="ar-SA"/>
        </w:rPr>
        <w:t>谈判小组</w:t>
      </w:r>
      <w:r>
        <w:rPr>
          <w:rFonts w:hint="eastAsia" w:ascii="宋体" w:hAnsi="宋体" w:eastAsia="宋体" w:cs="Times New Roman"/>
          <w:color w:val="auto"/>
          <w:kern w:val="0"/>
          <w:sz w:val="24"/>
          <w:szCs w:val="24"/>
          <w:highlight w:val="none"/>
          <w:lang w:val="en-US" w:eastAsia="zh-CN" w:bidi="ar-SA"/>
        </w:rPr>
        <w:t xml:space="preserve">启动异常低价投标（响应）审查后，谈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 </w:t>
      </w:r>
    </w:p>
    <w:p w14:paraId="57D3D4EB">
      <w:pPr>
        <w:widowControl/>
        <w:shd w:val="clear"/>
        <w:spacing w:line="360" w:lineRule="auto"/>
        <w:ind w:firstLine="480" w:firstLineChars="200"/>
        <w:rPr>
          <w:rFonts w:hint="eastAsia" w:ascii="宋体" w:hAnsi="宋体"/>
          <w:color w:val="auto"/>
          <w:kern w:val="0"/>
          <w:sz w:val="24"/>
          <w:highlight w:val="none"/>
        </w:rPr>
      </w:pPr>
      <w:r>
        <w:rPr>
          <w:rFonts w:hint="eastAsia" w:ascii="宋体" w:hAnsi="宋体" w:cs="Times New Roman"/>
          <w:color w:val="auto"/>
          <w:kern w:val="0"/>
          <w:sz w:val="24"/>
          <w:szCs w:val="24"/>
          <w:highlight w:val="none"/>
          <w:lang w:val="en-US" w:eastAsia="zh-CN" w:bidi="ar-SA"/>
        </w:rPr>
        <w:t>谈判小组</w:t>
      </w:r>
      <w:r>
        <w:rPr>
          <w:rFonts w:hint="eastAsia" w:ascii="宋体" w:hAnsi="宋体" w:eastAsia="宋体" w:cs="Times New Roman"/>
          <w:color w:val="auto"/>
          <w:kern w:val="0"/>
          <w:sz w:val="24"/>
          <w:szCs w:val="24"/>
          <w:highlight w:val="none"/>
          <w:lang w:val="en-US" w:eastAsia="zh-CN" w:bidi="ar-SA"/>
        </w:rPr>
        <w:t>依据专业经验对报价合理性进行判断。投标（响应）供应商不能提供书面说明、证明材料，或者提供的书面说明、证明材料不能证明其报价合理性的，</w:t>
      </w:r>
      <w:r>
        <w:rPr>
          <w:rFonts w:hint="eastAsia" w:ascii="宋体" w:hAnsi="宋体" w:cs="Times New Roman"/>
          <w:color w:val="auto"/>
          <w:kern w:val="0"/>
          <w:sz w:val="24"/>
          <w:szCs w:val="24"/>
          <w:highlight w:val="none"/>
          <w:lang w:val="en-US" w:eastAsia="zh-CN" w:bidi="ar-SA"/>
        </w:rPr>
        <w:t>谈判小组</w:t>
      </w:r>
      <w:r>
        <w:rPr>
          <w:rFonts w:hint="eastAsia" w:ascii="宋体" w:hAnsi="宋体" w:eastAsia="宋体" w:cs="Times New Roman"/>
          <w:color w:val="auto"/>
          <w:kern w:val="0"/>
          <w:sz w:val="24"/>
          <w:szCs w:val="24"/>
          <w:highlight w:val="none"/>
          <w:lang w:val="en-US" w:eastAsia="zh-CN" w:bidi="ar-SA"/>
        </w:rPr>
        <w:t>应当将其作为无效投标（响应）处理</w:t>
      </w:r>
      <w:r>
        <w:rPr>
          <w:rFonts w:hint="eastAsia" w:ascii="宋体" w:hAnsi="宋体" w:cs="Times New Roman"/>
          <w:color w:val="auto"/>
          <w:kern w:val="0"/>
          <w:sz w:val="24"/>
          <w:szCs w:val="24"/>
          <w:highlight w:val="none"/>
          <w:lang w:val="en-US" w:eastAsia="zh-CN" w:bidi="ar-SA"/>
        </w:rPr>
        <w:t>。</w:t>
      </w:r>
    </w:p>
    <w:p w14:paraId="11CD3BA4">
      <w:pPr>
        <w:pStyle w:val="24"/>
        <w:spacing w:before="0" w:beforeAutospacing="0" w:after="0" w:afterAutospacing="0" w:line="360" w:lineRule="auto"/>
        <w:ind w:left="420"/>
        <w:jc w:val="both"/>
        <w:rPr>
          <w:color w:val="000000" w:themeColor="text1"/>
          <w14:textFill>
            <w14:solidFill>
              <w14:schemeClr w14:val="tx1"/>
            </w14:solidFill>
          </w14:textFill>
        </w:rPr>
      </w:pPr>
    </w:p>
    <w:p w14:paraId="56459504">
      <w:pPr>
        <w:pStyle w:val="24"/>
        <w:spacing w:before="0" w:beforeAutospacing="0" w:after="0" w:afterAutospacing="0" w:line="360" w:lineRule="auto"/>
        <w:ind w:left="420"/>
        <w:jc w:val="both"/>
        <w:rPr>
          <w:color w:val="000000" w:themeColor="text1"/>
          <w14:textFill>
            <w14:solidFill>
              <w14:schemeClr w14:val="tx1"/>
            </w14:solidFill>
          </w14:textFill>
        </w:rPr>
      </w:pPr>
    </w:p>
    <w:p w14:paraId="2E0009C4">
      <w:pPr>
        <w:pStyle w:val="24"/>
        <w:spacing w:before="0" w:beforeAutospacing="0" w:after="0" w:afterAutospacing="0" w:line="360" w:lineRule="auto"/>
        <w:ind w:left="420"/>
        <w:jc w:val="both"/>
        <w:rPr>
          <w:color w:val="000000" w:themeColor="text1"/>
          <w14:textFill>
            <w14:solidFill>
              <w14:schemeClr w14:val="tx1"/>
            </w14:solidFill>
          </w14:textFill>
        </w:rPr>
      </w:pPr>
    </w:p>
    <w:p w14:paraId="5C0924B0">
      <w:pPr>
        <w:pStyle w:val="24"/>
        <w:spacing w:before="0" w:beforeAutospacing="0" w:after="0" w:afterAutospacing="0" w:line="360" w:lineRule="auto"/>
        <w:ind w:left="420"/>
        <w:jc w:val="both"/>
        <w:rPr>
          <w:color w:val="000000" w:themeColor="text1"/>
          <w14:textFill>
            <w14:solidFill>
              <w14:schemeClr w14:val="tx1"/>
            </w14:solidFill>
          </w14:textFill>
        </w:rPr>
      </w:pPr>
    </w:p>
    <w:p w14:paraId="53796107">
      <w:pPr>
        <w:pStyle w:val="24"/>
        <w:spacing w:before="0" w:beforeAutospacing="0" w:after="0" w:afterAutospacing="0" w:line="360" w:lineRule="auto"/>
        <w:ind w:left="420"/>
        <w:jc w:val="both"/>
        <w:rPr>
          <w:color w:val="000000" w:themeColor="text1"/>
          <w14:textFill>
            <w14:solidFill>
              <w14:schemeClr w14:val="tx1"/>
            </w14:solidFill>
          </w14:textFill>
        </w:rPr>
      </w:pPr>
    </w:p>
    <w:p w14:paraId="6DE6553C">
      <w:pPr>
        <w:rPr>
          <w:color w:val="000000" w:themeColor="text1"/>
          <w14:textFill>
            <w14:solidFill>
              <w14:schemeClr w14:val="tx1"/>
            </w14:solidFill>
          </w14:textFill>
        </w:rPr>
      </w:pPr>
      <w:r>
        <w:rPr>
          <w:rFonts w:ascii="宋体" w:hAnsi="宋体" w:cs="宋体"/>
          <w:b/>
          <w:bCs/>
          <w:color w:val="000000" w:themeColor="text1"/>
          <w:sz w:val="32"/>
          <w:szCs w:val="32"/>
          <w14:textFill>
            <w14:solidFill>
              <w14:schemeClr w14:val="tx1"/>
            </w14:solidFill>
          </w14:textFill>
        </w:rPr>
        <w:br w:type="page"/>
      </w:r>
    </w:p>
    <w:p w14:paraId="32E59564">
      <w:pPr>
        <w:pStyle w:val="3"/>
        <w:spacing w:before="0" w:after="0" w:line="360" w:lineRule="auto"/>
        <w:jc w:val="center"/>
        <w:rPr>
          <w:rFonts w:hint="eastAsia" w:ascii="宋体" w:hAnsi="宋体" w:cs="宋体"/>
          <w:color w:val="000000" w:themeColor="text1"/>
          <w:sz w:val="28"/>
          <w:szCs w:val="28"/>
          <w:lang w:eastAsia="zh-CN"/>
          <w14:textFill>
            <w14:solidFill>
              <w14:schemeClr w14:val="tx1"/>
            </w14:solidFill>
          </w14:textFill>
        </w:rPr>
      </w:pPr>
      <w:bookmarkStart w:id="3" w:name="_Toc17836"/>
      <w:bookmarkStart w:id="4" w:name="OLE_LINK1"/>
      <w:r>
        <w:rPr>
          <w:rFonts w:hint="eastAsia" w:ascii="宋体" w:hAnsi="宋体" w:cs="宋体"/>
          <w:color w:val="000000" w:themeColor="text1"/>
          <w:sz w:val="28"/>
          <w:szCs w:val="28"/>
          <w:lang w:eastAsia="zh-CN"/>
          <w14:textFill>
            <w14:solidFill>
              <w14:schemeClr w14:val="tx1"/>
            </w14:solidFill>
          </w14:textFill>
        </w:rPr>
        <w:t>博爱县民政局殡仪馆火化炉（含尾气处理设备）采购项目</w:t>
      </w:r>
    </w:p>
    <w:p w14:paraId="263700E3">
      <w:pPr>
        <w:pStyle w:val="3"/>
        <w:spacing w:before="0" w:after="0" w:line="360" w:lineRule="auto"/>
        <w:jc w:val="center"/>
        <w:rPr>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竞争性谈判公告</w:t>
      </w:r>
      <w:r>
        <w:rPr>
          <w:rFonts w:hint="eastAsia" w:ascii="宋体" w:hAnsi="宋体" w:cs="宋体"/>
          <w:color w:val="000000" w:themeColor="text1"/>
          <w:sz w:val="28"/>
          <w:szCs w:val="28"/>
          <w14:textFill>
            <w14:solidFill>
              <w14:schemeClr w14:val="tx1"/>
            </w14:solidFill>
          </w14:textFill>
        </w:rPr>
        <w:t>（不见面开标）</w:t>
      </w:r>
      <w:bookmarkEnd w:id="3"/>
    </w:p>
    <w:tbl>
      <w:tblPr>
        <w:tblStyle w:val="29"/>
        <w:tblW w:w="8623"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3"/>
      </w:tblGrid>
      <w:tr w14:paraId="70933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23" w:type="dxa"/>
          </w:tcPr>
          <w:p w14:paraId="671D3D3D">
            <w:pPr>
              <w:pStyle w:val="3"/>
              <w:spacing w:before="0" w:after="0" w:line="360" w:lineRule="auto"/>
              <w:ind w:firstLine="482" w:firstLineChars="200"/>
              <w:jc w:val="left"/>
              <w:rPr>
                <w:rFonts w:ascii="宋体" w:hAnsi="宋体" w:cs="宋体"/>
                <w:sz w:val="24"/>
                <w:szCs w:val="24"/>
              </w:rPr>
            </w:pPr>
            <w:r>
              <w:rPr>
                <w:rFonts w:hint="eastAsia" w:ascii="宋体" w:hAnsi="宋体" w:cs="宋体"/>
                <w:sz w:val="24"/>
                <w:szCs w:val="24"/>
              </w:rPr>
              <w:t>项目概况：</w:t>
            </w:r>
            <w:r>
              <w:rPr>
                <w:rFonts w:hint="eastAsia" w:ascii="宋体" w:hAnsi="宋体" w:cs="宋体"/>
                <w:kern w:val="2"/>
                <w:sz w:val="24"/>
                <w:szCs w:val="24"/>
                <w:u w:val="single"/>
                <w:lang w:eastAsia="zh-CN"/>
              </w:rPr>
              <w:t>博爱县民政局殡仪馆火化炉（含尾气处理设备）采购项目竞争性谈判公告</w:t>
            </w:r>
            <w:r>
              <w:rPr>
                <w:rFonts w:hint="eastAsia" w:ascii="宋体" w:hAnsi="宋体" w:cs="宋体"/>
                <w:sz w:val="24"/>
                <w:szCs w:val="24"/>
              </w:rPr>
              <w:t>的潜在供应商应在</w:t>
            </w:r>
            <w:r>
              <w:rPr>
                <w:rFonts w:hint="eastAsia" w:ascii="宋体" w:hAnsi="宋体" w:cs="宋体"/>
                <w:sz w:val="24"/>
                <w:szCs w:val="24"/>
                <w:shd w:val="clear" w:color="auto" w:fill="FFFFFF"/>
              </w:rPr>
              <w:t>焦作市公共资源交易中心网站获取采购文件</w:t>
            </w:r>
            <w:r>
              <w:rPr>
                <w:rFonts w:hint="eastAsia" w:ascii="宋体" w:hAnsi="宋体" w:cs="宋体"/>
                <w:sz w:val="24"/>
                <w:szCs w:val="24"/>
              </w:rPr>
              <w:t>，</w:t>
            </w:r>
            <w:r>
              <w:rPr>
                <w:rFonts w:hint="eastAsia" w:ascii="宋体" w:hAnsi="宋体" w:cs="宋体"/>
                <w:sz w:val="24"/>
                <w:szCs w:val="24"/>
                <w:shd w:val="clear" w:color="auto" w:fill="FFFFFF"/>
              </w:rPr>
              <w:t>并于202</w:t>
            </w:r>
            <w:r>
              <w:rPr>
                <w:rFonts w:hint="eastAsia" w:ascii="宋体" w:hAnsi="宋体" w:cs="宋体"/>
                <w:sz w:val="24"/>
                <w:szCs w:val="24"/>
                <w:shd w:val="clear" w:color="auto" w:fill="FFFFFF"/>
                <w:lang w:val="en-US" w:eastAsia="zh-CN"/>
              </w:rPr>
              <w:t>6</w:t>
            </w:r>
            <w:r>
              <w:rPr>
                <w:rFonts w:hint="eastAsia" w:ascii="宋体" w:hAnsi="宋体" w:cs="宋体"/>
                <w:sz w:val="24"/>
                <w:szCs w:val="24"/>
                <w:shd w:val="clear" w:color="auto" w:fill="FFFFFF"/>
              </w:rPr>
              <w:t>年</w:t>
            </w:r>
            <w:r>
              <w:rPr>
                <w:rFonts w:hint="eastAsia" w:ascii="宋体" w:hAnsi="宋体" w:cs="宋体"/>
                <w:sz w:val="24"/>
                <w:szCs w:val="24"/>
                <w:shd w:val="clear" w:color="auto" w:fill="FFFFFF"/>
                <w:lang w:val="en-US" w:eastAsia="zh-CN"/>
              </w:rPr>
              <w:t>05</w:t>
            </w:r>
            <w:r>
              <w:rPr>
                <w:rFonts w:hint="eastAsia" w:ascii="宋体" w:hAnsi="宋体" w:cs="宋体"/>
                <w:sz w:val="24"/>
                <w:szCs w:val="24"/>
                <w:shd w:val="clear" w:color="auto" w:fill="FFFFFF"/>
              </w:rPr>
              <w:t>月</w:t>
            </w:r>
            <w:r>
              <w:rPr>
                <w:rFonts w:hint="eastAsia" w:ascii="宋体" w:hAnsi="宋体" w:cs="宋体"/>
                <w:sz w:val="24"/>
                <w:szCs w:val="24"/>
                <w:shd w:val="clear" w:color="auto" w:fill="FFFFFF"/>
                <w:lang w:val="en-US" w:eastAsia="zh-CN"/>
              </w:rPr>
              <w:t>22</w:t>
            </w:r>
            <w:r>
              <w:rPr>
                <w:rFonts w:hint="eastAsia" w:ascii="宋体" w:hAnsi="宋体" w:cs="宋体"/>
                <w:sz w:val="24"/>
                <w:szCs w:val="24"/>
                <w:shd w:val="clear" w:color="auto" w:fill="FFFFFF"/>
              </w:rPr>
              <w:t>日</w:t>
            </w:r>
            <w:r>
              <w:rPr>
                <w:rFonts w:hint="eastAsia" w:ascii="宋体" w:hAnsi="宋体" w:cs="宋体"/>
                <w:sz w:val="24"/>
                <w:szCs w:val="24"/>
                <w:shd w:val="clear" w:color="auto" w:fill="FFFFFF"/>
                <w:lang w:val="en-US" w:eastAsia="zh-CN"/>
              </w:rPr>
              <w:t>8</w:t>
            </w:r>
            <w:r>
              <w:rPr>
                <w:rFonts w:hint="eastAsia" w:ascii="宋体" w:hAnsi="宋体" w:cs="宋体"/>
                <w:sz w:val="24"/>
                <w:szCs w:val="24"/>
                <w:shd w:val="clear" w:color="auto" w:fill="FFFFFF"/>
              </w:rPr>
              <w:t>时</w:t>
            </w:r>
            <w:r>
              <w:rPr>
                <w:rFonts w:hint="eastAsia" w:ascii="宋体" w:hAnsi="宋体" w:cs="宋体"/>
                <w:sz w:val="24"/>
                <w:szCs w:val="24"/>
                <w:shd w:val="clear" w:color="auto" w:fill="FFFFFF"/>
                <w:lang w:val="en-US" w:eastAsia="zh-CN"/>
              </w:rPr>
              <w:t>30</w:t>
            </w:r>
            <w:r>
              <w:rPr>
                <w:rFonts w:hint="eastAsia" w:ascii="宋体" w:hAnsi="宋体" w:cs="宋体"/>
                <w:sz w:val="24"/>
                <w:szCs w:val="24"/>
                <w:shd w:val="clear" w:color="auto" w:fill="FFFFFF"/>
              </w:rPr>
              <w:t>分</w:t>
            </w:r>
            <w:r>
              <w:rPr>
                <w:rFonts w:hint="eastAsia" w:ascii="宋体" w:hAnsi="宋体" w:cs="宋体"/>
                <w:color w:val="000000"/>
                <w:sz w:val="24"/>
                <w:szCs w:val="24"/>
                <w:u w:val="single"/>
              </w:rPr>
              <w:t>（北京时间）前提交响应文件</w:t>
            </w:r>
            <w:r>
              <w:rPr>
                <w:rFonts w:hint="eastAsia" w:ascii="宋体" w:hAnsi="宋体" w:cs="宋体"/>
                <w:color w:val="000000"/>
                <w:sz w:val="24"/>
                <w:szCs w:val="24"/>
              </w:rPr>
              <w:t>。</w:t>
            </w:r>
          </w:p>
        </w:tc>
      </w:tr>
    </w:tbl>
    <w:p w14:paraId="7997C2BD">
      <w:pPr>
        <w:pStyle w:val="71"/>
        <w:spacing w:line="360" w:lineRule="auto"/>
        <w:ind w:firstLine="482"/>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一、项目基本情况</w:t>
      </w:r>
    </w:p>
    <w:p w14:paraId="4D4284CB">
      <w:pPr>
        <w:adjustRightInd w:val="0"/>
        <w:snapToGrid w:val="0"/>
        <w:spacing w:line="360" w:lineRule="auto"/>
        <w:ind w:firstLine="480" w:firstLineChars="200"/>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1.项目编号</w:t>
      </w:r>
      <w:r>
        <w:rPr>
          <w:rFonts w:hint="eastAsia" w:ascii="宋体" w:hAnsi="宋体" w:cs="宋体"/>
          <w:color w:val="000000" w:themeColor="text1"/>
          <w:kern w:val="0"/>
          <w:sz w:val="24"/>
          <w:highlight w:val="none"/>
          <w:lang w:eastAsia="zh-CN"/>
          <w14:textFill>
            <w14:solidFill>
              <w14:schemeClr w14:val="tx1"/>
            </w14:solidFill>
          </w14:textFill>
        </w:rPr>
        <w:t>：博财谈判采购-202</w:t>
      </w:r>
      <w:r>
        <w:rPr>
          <w:rFonts w:hint="eastAsia" w:ascii="宋体" w:hAnsi="宋体" w:cs="宋体"/>
          <w:color w:val="000000" w:themeColor="text1"/>
          <w:kern w:val="0"/>
          <w:sz w:val="24"/>
          <w:highlight w:val="none"/>
          <w:lang w:val="en-US" w:eastAsia="zh-CN"/>
          <w14:textFill>
            <w14:solidFill>
              <w14:schemeClr w14:val="tx1"/>
            </w14:solidFill>
          </w14:textFill>
        </w:rPr>
        <w:t>6</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30</w:t>
      </w:r>
      <w:r>
        <w:rPr>
          <w:rFonts w:hint="eastAsia" w:ascii="宋体" w:hAnsi="宋体" w:cs="宋体"/>
          <w:color w:val="000000" w:themeColor="text1"/>
          <w:kern w:val="0"/>
          <w:sz w:val="24"/>
          <w:highlight w:val="none"/>
          <w:lang w:eastAsia="zh-CN"/>
          <w14:textFill>
            <w14:solidFill>
              <w14:schemeClr w14:val="tx1"/>
            </w14:solidFill>
          </w14:textFill>
        </w:rPr>
        <w:t>；</w:t>
      </w:r>
    </w:p>
    <w:p w14:paraId="36AC997A">
      <w:pPr>
        <w:adjustRightInd w:val="0"/>
        <w:snapToGrid w:val="0"/>
        <w:spacing w:line="360" w:lineRule="auto"/>
        <w:ind w:firstLine="480" w:firstLineChars="200"/>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2.项目名称：</w:t>
      </w:r>
      <w:r>
        <w:rPr>
          <w:rFonts w:hint="eastAsia" w:ascii="宋体" w:hAnsi="宋体" w:cs="宋体"/>
          <w:color w:val="000000" w:themeColor="text1"/>
          <w:kern w:val="0"/>
          <w:sz w:val="24"/>
          <w:lang w:eastAsia="zh-CN"/>
          <w14:textFill>
            <w14:solidFill>
              <w14:schemeClr w14:val="tx1"/>
            </w14:solidFill>
          </w14:textFill>
        </w:rPr>
        <w:t>博爱县民政局殡仪馆火化炉（含尾气处理设备）采购项目</w:t>
      </w:r>
    </w:p>
    <w:p w14:paraId="66E1301A">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3.采购方式：竞争性谈判；</w:t>
      </w:r>
    </w:p>
    <w:p w14:paraId="42D61138">
      <w:pPr>
        <w:adjustRightInd w:val="0"/>
        <w:snapToGrid w:val="0"/>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4．预算金额：1000000.00元</w:t>
      </w:r>
    </w:p>
    <w:p w14:paraId="0D9CA058">
      <w:pPr>
        <w:adjustRightInd w:val="0"/>
        <w:snapToGrid w:val="0"/>
        <w:spacing w:line="360" w:lineRule="auto"/>
        <w:ind w:firstLine="720" w:firstLineChars="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最高限价：1000000.00元</w:t>
      </w:r>
    </w:p>
    <w:tbl>
      <w:tblPr>
        <w:tblStyle w:val="29"/>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80"/>
        <w:gridCol w:w="1829"/>
        <w:gridCol w:w="1130"/>
        <w:gridCol w:w="1310"/>
        <w:gridCol w:w="1492"/>
        <w:gridCol w:w="1509"/>
      </w:tblGrid>
      <w:tr w14:paraId="4EB6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87" w:type="dxa"/>
            <w:noWrap/>
            <w:vAlign w:val="center"/>
          </w:tcPr>
          <w:p w14:paraId="0938C01B">
            <w:pPr>
              <w:widowControl/>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1280" w:type="dxa"/>
            <w:noWrap/>
            <w:vAlign w:val="center"/>
          </w:tcPr>
          <w:p w14:paraId="5EF62145">
            <w:pPr>
              <w:widowControl/>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包号</w:t>
            </w:r>
          </w:p>
        </w:tc>
        <w:tc>
          <w:tcPr>
            <w:tcW w:w="1829" w:type="dxa"/>
            <w:noWrap/>
            <w:vAlign w:val="center"/>
          </w:tcPr>
          <w:p w14:paraId="21BB558B">
            <w:pPr>
              <w:widowControl/>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包名称</w:t>
            </w:r>
          </w:p>
        </w:tc>
        <w:tc>
          <w:tcPr>
            <w:tcW w:w="1130" w:type="dxa"/>
            <w:noWrap/>
            <w:vAlign w:val="center"/>
          </w:tcPr>
          <w:p w14:paraId="47C5C4B7">
            <w:pPr>
              <w:widowControl/>
              <w:jc w:val="center"/>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包预算（元）</w:t>
            </w:r>
          </w:p>
        </w:tc>
        <w:tc>
          <w:tcPr>
            <w:tcW w:w="1310" w:type="dxa"/>
            <w:noWrap/>
            <w:vAlign w:val="center"/>
          </w:tcPr>
          <w:p w14:paraId="56411DEE">
            <w:pPr>
              <w:widowControl/>
              <w:jc w:val="center"/>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包最高限价（元）</w:t>
            </w:r>
          </w:p>
        </w:tc>
        <w:tc>
          <w:tcPr>
            <w:tcW w:w="1492" w:type="dxa"/>
            <w:noWrap/>
            <w:vAlign w:val="center"/>
          </w:tcPr>
          <w:p w14:paraId="539D3913">
            <w:pPr>
              <w:widowControl/>
              <w:jc w:val="center"/>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是否专门面向中小企业</w:t>
            </w:r>
            <w:r>
              <w:rPr>
                <w:rFonts w:hint="eastAsia" w:ascii="宋体" w:hAnsi="宋体" w:cs="宋体"/>
                <w:color w:val="000000" w:themeColor="text1"/>
                <w:kern w:val="0"/>
                <w:sz w:val="24"/>
                <w:lang w:eastAsia="zh-CN"/>
                <w14:textFill>
                  <w14:solidFill>
                    <w14:schemeClr w14:val="tx1"/>
                  </w14:solidFill>
                </w14:textFill>
              </w:rPr>
              <w:tab/>
            </w:r>
          </w:p>
        </w:tc>
        <w:tc>
          <w:tcPr>
            <w:tcW w:w="1509" w:type="dxa"/>
            <w:noWrap/>
            <w:vAlign w:val="center"/>
          </w:tcPr>
          <w:p w14:paraId="3BBCB0DD">
            <w:pPr>
              <w:widowControl/>
              <w:jc w:val="center"/>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采购预留金额（元）</w:t>
            </w:r>
          </w:p>
        </w:tc>
      </w:tr>
      <w:tr w14:paraId="19FB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87" w:type="dxa"/>
            <w:noWrap/>
            <w:vAlign w:val="center"/>
          </w:tcPr>
          <w:p w14:paraId="48B54B38">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280" w:type="dxa"/>
            <w:noWrap/>
            <w:vAlign w:val="center"/>
          </w:tcPr>
          <w:p w14:paraId="75C4CAB3">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博政采购（202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37</w:t>
            </w:r>
            <w:r>
              <w:rPr>
                <w:rFonts w:hint="eastAsia" w:ascii="宋体" w:hAnsi="宋体" w:cs="宋体"/>
                <w:color w:val="000000" w:themeColor="text1"/>
                <w:kern w:val="0"/>
                <w:sz w:val="24"/>
                <w14:textFill>
                  <w14:solidFill>
                    <w14:schemeClr w14:val="tx1"/>
                  </w14:solidFill>
                </w14:textFill>
              </w:rPr>
              <w:t>号</w:t>
            </w:r>
            <w:r>
              <w:rPr>
                <w:rFonts w:hint="eastAsia" w:ascii="宋体" w:hAnsi="宋体" w:cs="宋体"/>
                <w:color w:val="000000" w:themeColor="text1"/>
                <w:szCs w:val="21"/>
                <w14:textFill>
                  <w14:solidFill>
                    <w14:schemeClr w14:val="tx1"/>
                  </w14:solidFill>
                </w14:textFill>
              </w:rPr>
              <w:t xml:space="preserve">   </w:t>
            </w:r>
          </w:p>
        </w:tc>
        <w:tc>
          <w:tcPr>
            <w:tcW w:w="1829" w:type="dxa"/>
            <w:noWrap/>
            <w:vAlign w:val="center"/>
          </w:tcPr>
          <w:p w14:paraId="72EAAB30">
            <w:pPr>
              <w:widowControl/>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博爱县民政局殡仪馆火化炉（含尾气处理设备）采购项目</w:t>
            </w:r>
          </w:p>
        </w:tc>
        <w:tc>
          <w:tcPr>
            <w:tcW w:w="1130" w:type="dxa"/>
            <w:noWrap/>
            <w:vAlign w:val="center"/>
          </w:tcPr>
          <w:p w14:paraId="67FAA38E">
            <w:pPr>
              <w:widowControl/>
              <w:jc w:val="center"/>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1000000</w:t>
            </w:r>
            <w:r>
              <w:rPr>
                <w:rFonts w:hint="eastAsia" w:ascii="宋体" w:hAnsi="宋体" w:cs="宋体"/>
                <w:color w:val="000000" w:themeColor="text1"/>
                <w:kern w:val="0"/>
                <w:sz w:val="24"/>
                <w:lang w:eastAsia="zh-CN"/>
                <w14:textFill>
                  <w14:solidFill>
                    <w14:schemeClr w14:val="tx1"/>
                  </w14:solidFill>
                </w14:textFill>
              </w:rPr>
              <w:t xml:space="preserve"> </w:t>
            </w:r>
          </w:p>
        </w:tc>
        <w:tc>
          <w:tcPr>
            <w:tcW w:w="1310" w:type="dxa"/>
            <w:noWrap/>
            <w:vAlign w:val="center"/>
          </w:tcPr>
          <w:p w14:paraId="219AC910">
            <w:pPr>
              <w:widowControl/>
              <w:jc w:val="center"/>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1000000</w:t>
            </w:r>
          </w:p>
        </w:tc>
        <w:tc>
          <w:tcPr>
            <w:tcW w:w="1492" w:type="dxa"/>
            <w:noWrap/>
            <w:vAlign w:val="center"/>
          </w:tcPr>
          <w:p w14:paraId="36C3F1A7">
            <w:pPr>
              <w:widowControl/>
              <w:jc w:val="center"/>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是</w:t>
            </w:r>
          </w:p>
        </w:tc>
        <w:tc>
          <w:tcPr>
            <w:tcW w:w="1509" w:type="dxa"/>
            <w:noWrap/>
            <w:vAlign w:val="center"/>
          </w:tcPr>
          <w:p w14:paraId="7CC2A92E">
            <w:pPr>
              <w:widowControl/>
              <w:jc w:val="center"/>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1000000</w:t>
            </w:r>
          </w:p>
        </w:tc>
      </w:tr>
    </w:tbl>
    <w:p w14:paraId="0D38E2FC">
      <w:pPr>
        <w:adjustRightInd w:val="0"/>
        <w:snapToGrid w:val="0"/>
        <w:spacing w:line="360" w:lineRule="auto"/>
        <w:ind w:firstLine="200" w:firstLineChars="200"/>
        <w:rPr>
          <w:rFonts w:ascii="宋体" w:hAnsi="宋体" w:cs="宋体"/>
          <w:color w:val="0000FF"/>
          <w:kern w:val="0"/>
          <w:sz w:val="10"/>
          <w:szCs w:val="10"/>
        </w:rPr>
      </w:pPr>
    </w:p>
    <w:p w14:paraId="57E291D8">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5.采购需求（包括但不限于标的的名称、数量、简要技术需求或服务要求等）</w:t>
      </w:r>
    </w:p>
    <w:p w14:paraId="5A538FBD">
      <w:pPr>
        <w:adjustRightInd w:val="0"/>
        <w:snapToGrid w:val="0"/>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（1）采购范围：为保障群众基本殡葬服务需求，确保殡仪馆火化业务安全有序开展，采购殡仪馆火化炉（含尾气处理设备）1台。</w:t>
      </w:r>
      <w:r>
        <w:rPr>
          <w:rFonts w:hint="eastAsia" w:ascii="宋体" w:hAnsi="宋体" w:cs="宋体"/>
          <w:color w:val="000000" w:themeColor="text1"/>
          <w:kern w:val="0"/>
          <w:sz w:val="24"/>
          <w14:textFill>
            <w14:solidFill>
              <w14:schemeClr w14:val="tx1"/>
            </w14:solidFill>
          </w14:textFill>
        </w:rPr>
        <w:t>（具体参数要求详见谈判文件）；</w:t>
      </w:r>
    </w:p>
    <w:p w14:paraId="4A11A278">
      <w:pPr>
        <w:adjustRightInd w:val="0"/>
        <w:snapToGrid w:val="0"/>
        <w:spacing w:line="360" w:lineRule="auto"/>
        <w:ind w:firstLine="480" w:firstLineChars="2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2）质量要求：合格，符合国家及行业规范标准；</w:t>
      </w:r>
    </w:p>
    <w:p w14:paraId="5B2F4347">
      <w:pPr>
        <w:adjustRightInd w:val="0"/>
        <w:snapToGrid w:val="0"/>
        <w:spacing w:line="360" w:lineRule="auto"/>
        <w:ind w:firstLine="480" w:firstLineChars="200"/>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（3）供货安装期：自合同签订之日起60日历天。</w:t>
      </w:r>
    </w:p>
    <w:p w14:paraId="1AEBCFBA">
      <w:pPr>
        <w:adjustRightInd w:val="0"/>
        <w:snapToGrid w:val="0"/>
        <w:spacing w:line="360" w:lineRule="auto"/>
        <w:ind w:firstLine="480" w:firstLineChars="2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6.合同履行期限</w:t>
      </w:r>
      <w:r>
        <w:rPr>
          <w:rFonts w:hint="eastAsia" w:ascii="宋体" w:hAnsi="宋体" w:cs="宋体"/>
          <w:color w:val="000000" w:themeColor="text1"/>
          <w:kern w:val="0"/>
          <w:sz w:val="24"/>
          <w:lang w:val="en-US" w:eastAsia="zh-CN"/>
          <w14:textFill>
            <w14:solidFill>
              <w14:schemeClr w14:val="tx1"/>
            </w14:solidFill>
          </w14:textFill>
        </w:rPr>
        <w:t>：60日历天；</w:t>
      </w:r>
    </w:p>
    <w:p w14:paraId="13CB1CA8">
      <w:pPr>
        <w:adjustRightInd w:val="0"/>
        <w:snapToGrid w:val="0"/>
        <w:spacing w:line="360" w:lineRule="auto"/>
        <w:ind w:firstLine="480" w:firstLineChars="20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质保期：2年；</w:t>
      </w:r>
    </w:p>
    <w:p w14:paraId="76DE9908">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8.</w:t>
      </w:r>
      <w:r>
        <w:rPr>
          <w:rFonts w:hint="eastAsia" w:ascii="宋体" w:hAnsi="宋体" w:cs="宋体"/>
          <w:color w:val="000000" w:themeColor="text1"/>
          <w:kern w:val="0"/>
          <w:sz w:val="24"/>
          <w14:textFill>
            <w14:solidFill>
              <w14:schemeClr w14:val="tx1"/>
            </w14:solidFill>
          </w14:textFill>
        </w:rPr>
        <w:t>本项目是否接受联合体投标：否；</w:t>
      </w:r>
    </w:p>
    <w:p w14:paraId="7D124C8B">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9</w:t>
      </w:r>
      <w:r>
        <w:rPr>
          <w:rFonts w:hint="eastAsia" w:ascii="宋体" w:hAnsi="宋体" w:cs="宋体"/>
          <w:color w:val="000000" w:themeColor="text1"/>
          <w:kern w:val="0"/>
          <w:sz w:val="24"/>
          <w14:textFill>
            <w14:solidFill>
              <w14:schemeClr w14:val="tx1"/>
            </w14:solidFill>
          </w14:textFill>
        </w:rPr>
        <w:t>.是否接受进口产品：否；</w:t>
      </w:r>
    </w:p>
    <w:p w14:paraId="7DFDC4E1">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10</w:t>
      </w:r>
      <w:r>
        <w:rPr>
          <w:rFonts w:hint="eastAsia" w:ascii="宋体" w:hAnsi="宋体" w:cs="宋体"/>
          <w:color w:val="000000" w:themeColor="text1"/>
          <w:kern w:val="0"/>
          <w:sz w:val="24"/>
          <w14:textFill>
            <w14:solidFill>
              <w14:schemeClr w14:val="tx1"/>
            </w14:solidFill>
          </w14:textFill>
        </w:rPr>
        <w:t>.是否面向中小企业采购：是。</w:t>
      </w:r>
    </w:p>
    <w:p w14:paraId="66E68B94">
      <w:pPr>
        <w:adjustRightInd w:val="0"/>
        <w:snapToGrid w:val="0"/>
        <w:spacing w:line="360" w:lineRule="auto"/>
        <w:ind w:firstLine="482" w:firstLineChars="200"/>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二、申请人资格要求</w:t>
      </w:r>
    </w:p>
    <w:p w14:paraId="7E2CB1FB">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1.符合《中华人民共和国政府采购法》第二十二条之规定；</w:t>
      </w:r>
    </w:p>
    <w:p w14:paraId="7CF2D3D4">
      <w:pPr>
        <w:adjustRightInd w:val="0"/>
        <w:snapToGrid w:val="0"/>
        <w:spacing w:line="360" w:lineRule="auto"/>
        <w:ind w:firstLine="480" w:firstLineChars="200"/>
        <w:rPr>
          <w:rFonts w:ascii="宋体" w:hAnsi="宋体" w:cs="宋体"/>
          <w:color w:val="000000" w:themeColor="text1"/>
          <w:kern w:val="0"/>
          <w:sz w:val="24"/>
          <w:lang w:val="en"/>
          <w14:textFill>
            <w14:solidFill>
              <w14:schemeClr w14:val="tx1"/>
            </w14:solidFill>
          </w14:textFill>
        </w:rPr>
      </w:pPr>
      <w:r>
        <w:rPr>
          <w:rFonts w:hint="eastAsia" w:ascii="宋体" w:hAnsi="宋体" w:cs="宋体"/>
          <w:kern w:val="0"/>
          <w:sz w:val="24"/>
        </w:rPr>
        <w:t>2.落实政府采购政策需满足的资格要求：促进政府强制采购节能产品及环境标志</w:t>
      </w:r>
      <w:r>
        <w:rPr>
          <w:rFonts w:hint="eastAsia" w:ascii="宋体" w:hAnsi="宋体" w:cs="宋体"/>
          <w:color w:val="000000" w:themeColor="text1"/>
          <w:kern w:val="0"/>
          <w:sz w:val="24"/>
          <w14:textFill>
            <w14:solidFill>
              <w14:schemeClr w14:val="tx1"/>
            </w14:solidFill>
          </w14:textFill>
        </w:rPr>
        <w:t>产品优先采购，该项目全额面向中小企业采购，需要提供中小企业声明函；</w:t>
      </w:r>
    </w:p>
    <w:p w14:paraId="3171A31B">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3.本项目的特定资格要求：</w:t>
      </w:r>
    </w:p>
    <w:p w14:paraId="6416ECC7">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3.1供应商须具有有效的营业执照，并具有实施完成本项目的经营实力和完善的售后服务体系；</w:t>
      </w:r>
    </w:p>
    <w:p w14:paraId="6B37D598">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p>
    <w:p w14:paraId="41015136">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3.3本项目不接受联合体投标；</w:t>
      </w:r>
    </w:p>
    <w:p w14:paraId="69DBD92D">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3.4资格审查方式：资格后审。</w:t>
      </w:r>
    </w:p>
    <w:p w14:paraId="398052B1">
      <w:pPr>
        <w:adjustRightInd w:val="0"/>
        <w:snapToGrid w:val="0"/>
        <w:spacing w:line="360" w:lineRule="auto"/>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三、获取采购文件</w:t>
      </w:r>
    </w:p>
    <w:p w14:paraId="5E242881">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1.时间：202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年0</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 xml:space="preserve">19 </w:t>
      </w:r>
      <w:r>
        <w:rPr>
          <w:rFonts w:hint="eastAsia" w:ascii="宋体" w:hAnsi="宋体" w:cs="宋体"/>
          <w:color w:val="000000" w:themeColor="text1"/>
          <w:kern w:val="0"/>
          <w:sz w:val="24"/>
          <w14:textFill>
            <w14:solidFill>
              <w14:schemeClr w14:val="tx1"/>
            </w14:solidFill>
          </w14:textFill>
        </w:rPr>
        <w:t>日至202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年0</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21</w:t>
      </w:r>
      <w:r>
        <w:rPr>
          <w:rFonts w:hint="eastAsia" w:ascii="宋体" w:hAnsi="宋体" w:cs="宋体"/>
          <w:color w:val="000000" w:themeColor="text1"/>
          <w:kern w:val="0"/>
          <w:sz w:val="24"/>
          <w14:textFill>
            <w14:solidFill>
              <w14:schemeClr w14:val="tx1"/>
            </w14:solidFill>
          </w14:textFill>
        </w:rPr>
        <w:t>日，每天上午00:00至12:00，下午12:00至23:59（北京时间，法定节假日除外）；</w:t>
      </w:r>
    </w:p>
    <w:p w14:paraId="3AD8FFAC">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2.地点：焦作市公共资源交易中心网站；</w:t>
      </w:r>
    </w:p>
    <w:p w14:paraId="654E2D5D">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3.方式：本项目采用电子开评标（不见面开标），凡有意参加投标者，请登陆焦作市公共资源交易中心网站交易平台“交易主体登录”栏目下载采购文件；</w:t>
      </w:r>
    </w:p>
    <w:p w14:paraId="66D26269">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4.售价：0元。</w:t>
      </w:r>
    </w:p>
    <w:p w14:paraId="78494D9E">
      <w:pPr>
        <w:adjustRightInd w:val="0"/>
        <w:snapToGrid w:val="0"/>
        <w:spacing w:line="360" w:lineRule="auto"/>
        <w:ind w:firstLine="482"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四、响应文件提交</w:t>
      </w:r>
    </w:p>
    <w:p w14:paraId="3EC1459C">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1.截止时间：202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年0</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08</w:t>
      </w:r>
      <w:r>
        <w:rPr>
          <w:rFonts w:hint="eastAsia" w:ascii="宋体" w:hAnsi="宋体" w:cs="宋体"/>
          <w:color w:val="000000" w:themeColor="text1"/>
          <w:sz w:val="24"/>
          <w14:textFill>
            <w14:solidFill>
              <w14:schemeClr w14:val="tx1"/>
            </w14:solidFill>
          </w14:textFill>
        </w:rPr>
        <w:t>时</w:t>
      </w:r>
      <w:r>
        <w:rPr>
          <w:rFonts w:hint="eastAsia" w:ascii="宋体" w:hAnsi="宋体" w:cs="宋体"/>
          <w:color w:val="000000" w:themeColor="text1"/>
          <w:sz w:val="24"/>
          <w:lang w:val="en-US" w:eastAsia="zh-CN"/>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分（北京时间）；</w:t>
      </w:r>
    </w:p>
    <w:p w14:paraId="3CB901F3">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2.地点：加密电子投标文件须在投标截止时间前通过“焦作市公共资源交易中心（http://ggzy.jiaozuo.gov.cn/） ”网站-交易平台加密上传。</w:t>
      </w:r>
    </w:p>
    <w:p w14:paraId="224E25C8">
      <w:pPr>
        <w:shd w:val="clear"/>
        <w:adjustRightInd w:val="0"/>
        <w:snapToGrid w:val="0"/>
        <w:spacing w:line="360" w:lineRule="auto"/>
        <w:ind w:firstLine="482" w:firstLineChars="200"/>
        <w:rPr>
          <w:rFonts w:ascii="宋体" w:hAnsi="宋体" w:cs="宋体"/>
          <w:b/>
          <w:bCs/>
          <w:color w:val="000000" w:themeColor="text1"/>
          <w:kern w:val="0"/>
          <w:sz w:val="24"/>
          <w:highlight w:val="red"/>
          <w14:textFill>
            <w14:solidFill>
              <w14:schemeClr w14:val="tx1"/>
            </w14:solidFill>
          </w14:textFill>
        </w:rPr>
      </w:pPr>
      <w:r>
        <w:rPr>
          <w:rFonts w:hint="eastAsia" w:ascii="宋体" w:hAnsi="宋体" w:cs="宋体"/>
          <w:b/>
          <w:bCs/>
          <w:color w:val="auto"/>
          <w:sz w:val="24"/>
          <w:highlight w:val="none"/>
        </w:rPr>
        <w:t>五、响应文件开启</w:t>
      </w:r>
    </w:p>
    <w:p w14:paraId="7F21983F">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1.时间：</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年0</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08</w:t>
      </w:r>
      <w:r>
        <w:rPr>
          <w:rFonts w:hint="eastAsia" w:ascii="宋体" w:hAnsi="宋体" w:cs="宋体"/>
          <w:color w:val="000000" w:themeColor="text1"/>
          <w:sz w:val="24"/>
          <w14:textFill>
            <w14:solidFill>
              <w14:schemeClr w14:val="tx1"/>
            </w14:solidFill>
          </w14:textFill>
        </w:rPr>
        <w:t>时</w:t>
      </w:r>
      <w:r>
        <w:rPr>
          <w:rFonts w:hint="eastAsia" w:ascii="宋体" w:hAnsi="宋体" w:cs="宋体"/>
          <w:color w:val="000000" w:themeColor="text1"/>
          <w:sz w:val="24"/>
          <w:lang w:val="en-US" w:eastAsia="zh-CN"/>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分（北京时间）</w:t>
      </w:r>
      <w:r>
        <w:rPr>
          <w:rFonts w:hint="eastAsia" w:ascii="宋体" w:hAnsi="宋体" w:cs="宋体"/>
          <w:color w:val="000000" w:themeColor="text1"/>
          <w:kern w:val="0"/>
          <w:sz w:val="24"/>
          <w14:textFill>
            <w14:solidFill>
              <w14:schemeClr w14:val="tx1"/>
            </w14:solidFill>
          </w14:textFill>
        </w:rPr>
        <w:t>；</w:t>
      </w:r>
    </w:p>
    <w:p w14:paraId="6C94107F">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2.地点：博爱县公共资源交易中心</w:t>
      </w:r>
      <w:r>
        <w:rPr>
          <w:rFonts w:hint="eastAsia" w:ascii="宋体" w:hAnsi="宋体" w:cs="宋体"/>
          <w:color w:val="000000" w:themeColor="text1"/>
          <w:sz w:val="24"/>
          <w:shd w:val="clear" w:color="auto" w:fill="FFFFFF"/>
          <w14:textFill>
            <w14:solidFill>
              <w14:schemeClr w14:val="tx1"/>
            </w14:solidFill>
          </w14:textFill>
        </w:rPr>
        <w:t>二楼</w:t>
      </w:r>
      <w:r>
        <w:rPr>
          <w:rFonts w:hint="eastAsia" w:ascii="宋体" w:hAnsi="宋体" w:cs="宋体"/>
          <w:color w:val="000000" w:themeColor="text1"/>
          <w:kern w:val="0"/>
          <w:sz w:val="24"/>
          <w14:textFill>
            <w14:solidFill>
              <w14:schemeClr w14:val="tx1"/>
            </w14:solidFill>
          </w14:textFill>
        </w:rPr>
        <w:t>不见面开标</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二 </w:t>
      </w:r>
      <w:r>
        <w:rPr>
          <w:rFonts w:hint="eastAsia" w:ascii="宋体" w:hAnsi="宋体" w:cs="宋体"/>
          <w:color w:val="000000" w:themeColor="text1"/>
          <w:kern w:val="0"/>
          <w:sz w:val="24"/>
          <w14:textFill>
            <w14:solidFill>
              <w14:schemeClr w14:val="tx1"/>
            </w14:solidFill>
          </w14:textFill>
        </w:rPr>
        <w:t>室。</w:t>
      </w:r>
    </w:p>
    <w:p w14:paraId="09B59532">
      <w:pPr>
        <w:adjustRightInd w:val="0"/>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六、发布公告的媒介及公告期限</w:t>
      </w:r>
    </w:p>
    <w:p w14:paraId="178E8CA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w:t>
      </w:r>
      <w:r>
        <w:rPr>
          <w:rFonts w:hint="eastAsia" w:ascii="宋体" w:hAnsi="宋体" w:cs="宋体"/>
          <w:color w:val="000000" w:themeColor="text1"/>
          <w:sz w:val="24"/>
          <w:lang w:val="en-US" w:eastAsia="zh-CN"/>
          <w14:textFill>
            <w14:solidFill>
              <w14:schemeClr w14:val="tx1"/>
            </w14:solidFill>
          </w14:textFill>
        </w:rPr>
        <w:t>招标</w:t>
      </w:r>
      <w:r>
        <w:rPr>
          <w:rFonts w:hint="eastAsia" w:ascii="宋体" w:hAnsi="宋体" w:cs="宋体"/>
          <w:color w:val="000000" w:themeColor="text1"/>
          <w:sz w:val="24"/>
          <w14:textFill>
            <w14:solidFill>
              <w14:schemeClr w14:val="tx1"/>
            </w14:solidFill>
          </w14:textFill>
        </w:rPr>
        <w:t>公告在《中国招标投标公共服务平台》、《河南省政府采购网》、《焦作市政府采购网》、《焦作市公共资源交易中心网》、《博爱县公共资源交易中心网》http://ggzy.boai.gov.cn/上发布。招标公告</w:t>
      </w:r>
      <w:r>
        <w:rPr>
          <w:rFonts w:hint="eastAsia" w:ascii="宋体" w:hAnsi="宋体" w:cs="宋体"/>
          <w:color w:val="000000" w:themeColor="text1"/>
          <w:sz w:val="24"/>
          <w:lang w:val="en-US" w:eastAsia="zh-CN"/>
          <w14:textFill>
            <w14:solidFill>
              <w14:schemeClr w14:val="tx1"/>
            </w14:solidFill>
          </w14:textFill>
        </w:rPr>
        <w:t>期限</w:t>
      </w:r>
      <w:r>
        <w:rPr>
          <w:rFonts w:hint="eastAsia" w:ascii="宋体" w:hAnsi="宋体" w:cs="宋体"/>
          <w:color w:val="000000" w:themeColor="text1"/>
          <w:sz w:val="24"/>
          <w14:textFill>
            <w14:solidFill>
              <w14:schemeClr w14:val="tx1"/>
            </w14:solidFill>
          </w14:textFill>
        </w:rPr>
        <w:t xml:space="preserve">为三个工作日。 </w:t>
      </w:r>
    </w:p>
    <w:p w14:paraId="3C5ECB38">
      <w:pPr>
        <w:adjustRightInd w:val="0"/>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七、其他补充事宜</w:t>
      </w:r>
    </w:p>
    <w:p w14:paraId="11EBD516">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14:paraId="4C3EEE34">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（http://ggzy.jiaozuo.gov.cn/BidOpeningHall/bidhall/default/login）进行签到，按要求解密投标文件。因文件未及时上传导致投标失败的责任由投标人自行承担，具体要求详见招标文件。平台统一技术服务</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color w:val="000000" w:themeColor="text1"/>
          <w:sz w:val="24"/>
          <w:lang w:val="en-US" w:eastAsia="zh-CN"/>
          <w14:textFill>
            <w14:solidFill>
              <w14:schemeClr w14:val="tx1"/>
            </w14:solidFill>
          </w14:textFill>
        </w:rPr>
        <w:t>0512-58188538</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服务QQ：4008503300，服务时间：周一至周日8：00-17：30。 </w:t>
      </w:r>
    </w:p>
    <w:p w14:paraId="17DAA1D7">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人无需到现场参加开标会议，无需到达现场提交原件资料。投标人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07274092">
      <w:pPr>
        <w:adjustRightInd w:val="0"/>
        <w:snapToGrid w:val="0"/>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八、</w:t>
      </w:r>
      <w:r>
        <w:rPr>
          <w:rFonts w:hint="eastAsia" w:ascii="宋体" w:hAnsi="宋体" w:cs="宋体"/>
          <w:b/>
          <w:color w:val="000000" w:themeColor="text1"/>
          <w:sz w:val="24"/>
          <w:shd w:val="clear" w:color="auto" w:fill="FFFFFF"/>
          <w14:textFill>
            <w14:solidFill>
              <w14:schemeClr w14:val="tx1"/>
            </w14:solidFill>
          </w14:textFill>
        </w:rPr>
        <w:t>凡对本次采购提出询问，请按以下方式联系</w:t>
      </w:r>
    </w:p>
    <w:p w14:paraId="59792D51">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1、采购人信息：</w:t>
      </w:r>
    </w:p>
    <w:p w14:paraId="4BB8C0E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采购人：博爱县民政局</w:t>
      </w:r>
    </w:p>
    <w:p w14:paraId="1E83373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址：博爱县发展大道 188 号机关综合办公楼西配楼 7 楼</w:t>
      </w:r>
    </w:p>
    <w:p w14:paraId="7B99329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联系人：刘先生</w:t>
      </w:r>
    </w:p>
    <w:p w14:paraId="291C277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话：13598522662</w:t>
      </w:r>
    </w:p>
    <w:p w14:paraId="760B081A">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2、采购代理机构信息：</w:t>
      </w:r>
    </w:p>
    <w:p w14:paraId="266575A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称：山西众恒工程招标代理有限公司</w:t>
      </w:r>
    </w:p>
    <w:p w14:paraId="4100A9A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地址：太原市迎泽区并州北路35号1幢1单元6层601号</w:t>
      </w:r>
    </w:p>
    <w:p w14:paraId="26734A3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联系人：高女士</w:t>
      </w:r>
    </w:p>
    <w:p w14:paraId="671FED1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电话：13938137083 </w:t>
      </w:r>
    </w:p>
    <w:p w14:paraId="4378BAD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3.项目联系方式</w:t>
      </w:r>
    </w:p>
    <w:p w14:paraId="5A039C7E">
      <w:p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项目联系人：刘先生</w:t>
      </w:r>
    </w:p>
    <w:p w14:paraId="7B22D2C1">
      <w:p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话：13598522662</w:t>
      </w:r>
    </w:p>
    <w:bookmarkEnd w:id="4"/>
    <w:p w14:paraId="05184F84">
      <w:pPr>
        <w:widowControl/>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采购人：博爱县民政局</w:t>
      </w:r>
    </w:p>
    <w:p w14:paraId="52909F48">
      <w:pPr>
        <w:widowControl/>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代理机构：山西众恒工程招标代理有限公司             </w:t>
      </w:r>
    </w:p>
    <w:p w14:paraId="2C06E705">
      <w:pPr>
        <w:widowControl/>
        <w:spacing w:line="360" w:lineRule="auto"/>
        <w:jc w:val="righ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发布时间：2026年5月</w:t>
      </w:r>
      <w:r>
        <w:rPr>
          <w:rFonts w:hint="eastAsia" w:ascii="宋体" w:hAnsi="宋体" w:cs="宋体"/>
          <w:color w:val="000000" w:themeColor="text1"/>
          <w:sz w:val="24"/>
          <w:lang w:val="en-US" w:eastAsia="zh-CN"/>
          <w14:textFill>
            <w14:solidFill>
              <w14:schemeClr w14:val="tx1"/>
            </w14:solidFill>
          </w14:textFill>
        </w:rPr>
        <w:t>18</w:t>
      </w:r>
      <w:r>
        <w:rPr>
          <w:rFonts w:hint="eastAsia" w:ascii="宋体" w:hAnsi="宋体" w:cs="宋体"/>
          <w:color w:val="000000" w:themeColor="text1"/>
          <w:sz w:val="24"/>
          <w14:textFill>
            <w14:solidFill>
              <w14:schemeClr w14:val="tx1"/>
            </w14:solidFill>
          </w14:textFill>
        </w:rPr>
        <w:t>日</w:t>
      </w:r>
    </w:p>
    <w:p w14:paraId="1FD86A7D">
      <w:pPr>
        <w:pStyle w:val="3"/>
        <w:spacing w:before="0" w:after="0" w:line="360" w:lineRule="auto"/>
        <w:jc w:val="center"/>
        <w:rPr>
          <w:color w:val="000000" w:themeColor="text1"/>
          <w:kern w:val="0"/>
          <w:sz w:val="28"/>
          <w:szCs w:val="28"/>
          <w14:textFill>
            <w14:solidFill>
              <w14:schemeClr w14:val="tx1"/>
            </w14:solidFill>
          </w14:textFill>
        </w:rPr>
      </w:pPr>
      <w:bookmarkStart w:id="5" w:name="_Toc28653"/>
      <w:r>
        <w:rPr>
          <w:rFonts w:hint="eastAsia"/>
          <w:color w:val="000000" w:themeColor="text1"/>
          <w:kern w:val="0"/>
          <w:sz w:val="28"/>
          <w:szCs w:val="28"/>
          <w14:textFill>
            <w14:solidFill>
              <w14:schemeClr w14:val="tx1"/>
            </w14:solidFill>
          </w14:textFill>
        </w:rPr>
        <w:t>投标须知前附表</w:t>
      </w:r>
      <w:bookmarkEnd w:id="0"/>
      <w:bookmarkEnd w:id="1"/>
      <w:bookmarkEnd w:id="2"/>
      <w:bookmarkEnd w:id="5"/>
    </w:p>
    <w:tbl>
      <w:tblPr>
        <w:tblStyle w:val="29"/>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547"/>
      </w:tblGrid>
      <w:tr w14:paraId="5704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2" w:type="dxa"/>
          </w:tcPr>
          <w:p w14:paraId="15A38C2E">
            <w:pPr>
              <w:pStyle w:val="75"/>
              <w:widowControl w:val="0"/>
              <w:pBdr>
                <w:bottom w:val="none" w:color="auto" w:sz="0" w:space="0"/>
              </w:pBdr>
              <w:spacing w:beforeAutospacing="0" w:afterAutospacing="0" w:line="360" w:lineRule="auto"/>
              <w:textAlignment w:val="auto"/>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序号</w:t>
            </w:r>
          </w:p>
        </w:tc>
        <w:tc>
          <w:tcPr>
            <w:tcW w:w="8547" w:type="dxa"/>
          </w:tcPr>
          <w:p w14:paraId="7433C102">
            <w:pPr>
              <w:pStyle w:val="75"/>
              <w:widowControl w:val="0"/>
              <w:pBdr>
                <w:bottom w:val="none" w:color="auto" w:sz="0" w:space="0"/>
              </w:pBdr>
              <w:spacing w:beforeAutospacing="0" w:afterAutospacing="0" w:line="360" w:lineRule="auto"/>
              <w:textAlignment w:val="auto"/>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内容规定</w:t>
            </w:r>
          </w:p>
        </w:tc>
      </w:tr>
      <w:tr w14:paraId="6F5E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732" w:type="dxa"/>
            <w:vAlign w:val="center"/>
          </w:tcPr>
          <w:p w14:paraId="08B4A917">
            <w:pPr>
              <w:pStyle w:val="75"/>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w:t>
            </w:r>
          </w:p>
        </w:tc>
        <w:tc>
          <w:tcPr>
            <w:tcW w:w="8547" w:type="dxa"/>
            <w:vAlign w:val="center"/>
          </w:tcPr>
          <w:p w14:paraId="6C9B30C4">
            <w:pPr>
              <w:adjustRightInd w:val="0"/>
              <w:snapToGrid w:val="0"/>
              <w:spacing w:line="460" w:lineRule="exact"/>
              <w:ind w:firstLine="240" w:firstLineChars="100"/>
              <w:rPr>
                <w:rFonts w:hint="eastAsia" w:asci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r>
              <w:rPr>
                <w:rFonts w:hint="eastAsia" w:ascii="宋体" w:cs="宋体"/>
                <w:bCs/>
                <w:color w:val="000000" w:themeColor="text1"/>
                <w:sz w:val="24"/>
                <w:lang w:eastAsia="zh-CN"/>
                <w14:textFill>
                  <w14:solidFill>
                    <w14:schemeClr w14:val="tx1"/>
                  </w14:solidFill>
                </w14:textFill>
              </w:rPr>
              <w:t>博爱县民政局殡仪馆火化炉（含尾气处理设备）采购项目</w:t>
            </w:r>
          </w:p>
          <w:p w14:paraId="31392EF0">
            <w:pPr>
              <w:adjustRightInd w:val="0"/>
              <w:snapToGrid w:val="0"/>
              <w:spacing w:line="460" w:lineRule="exact"/>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采购内容：</w:t>
            </w:r>
            <w:r>
              <w:rPr>
                <w:rFonts w:hint="eastAsia" w:ascii="宋体" w:hAnsi="宋体" w:cs="宋体"/>
                <w:color w:val="000000" w:themeColor="text1"/>
                <w:kern w:val="0"/>
                <w:sz w:val="24"/>
                <w:lang w:val="en-US" w:eastAsia="zh-CN"/>
                <w14:textFill>
                  <w14:solidFill>
                    <w14:schemeClr w14:val="tx1"/>
                  </w14:solidFill>
                </w14:textFill>
              </w:rPr>
              <w:t>采购为保障群众基本殡葬服务需求，确保殡仪馆火化业务安全有序开展，采购殡仪馆火化炉（含尾气处理设备）1套。</w:t>
            </w:r>
            <w:r>
              <w:rPr>
                <w:rFonts w:hint="eastAsia" w:ascii="宋体" w:hAnsi="宋体" w:cs="宋体"/>
                <w:color w:val="000000" w:themeColor="text1"/>
                <w:kern w:val="0"/>
                <w:sz w:val="24"/>
                <w14:textFill>
                  <w14:solidFill>
                    <w14:schemeClr w14:val="tx1"/>
                  </w14:solidFill>
                </w14:textFill>
              </w:rPr>
              <w:t xml:space="preserve"> </w:t>
            </w:r>
          </w:p>
          <w:p w14:paraId="7CBD1A22">
            <w:pPr>
              <w:pStyle w:val="75"/>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kern w:val="2"/>
                <w:sz w:val="24"/>
                <w:szCs w:val="24"/>
                <w14:textFill>
                  <w14:solidFill>
                    <w14:schemeClr w14:val="tx1"/>
                  </w14:solidFill>
                </w14:textFill>
              </w:rPr>
            </w:pPr>
            <w:r>
              <w:rPr>
                <w:rFonts w:hint="eastAsia" w:ascii="宋体" w:eastAsia="宋体" w:cs="宋体"/>
                <w:b w:val="0"/>
                <w:bCs/>
                <w:color w:val="000000" w:themeColor="text1"/>
                <w:kern w:val="2"/>
                <w:sz w:val="24"/>
                <w:szCs w:val="24"/>
                <w14:textFill>
                  <w14:solidFill>
                    <w14:schemeClr w14:val="tx1"/>
                  </w14:solidFill>
                </w14:textFill>
              </w:rPr>
              <w:t>质量要求：合格，符合国家及行业规范标准。</w:t>
            </w:r>
          </w:p>
          <w:p w14:paraId="07BDAC55">
            <w:pPr>
              <w:pStyle w:val="75"/>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合同履行期限：</w:t>
            </w:r>
            <w:r>
              <w:rPr>
                <w:rFonts w:hint="eastAsia" w:ascii="宋体" w:eastAsia="宋体" w:cs="宋体"/>
                <w:b w:val="0"/>
                <w:color w:val="000000" w:themeColor="text1"/>
                <w:kern w:val="0"/>
                <w:sz w:val="24"/>
                <w:szCs w:val="24"/>
                <w:lang w:val="en-US" w:eastAsia="zh-CN" w:bidi="ar-SA"/>
                <w14:textFill>
                  <w14:solidFill>
                    <w14:schemeClr w14:val="tx1"/>
                  </w14:solidFill>
                </w14:textFill>
              </w:rPr>
              <w:t>60日历天</w:t>
            </w: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w:t>
            </w:r>
          </w:p>
          <w:p w14:paraId="1322C712">
            <w:pPr>
              <w:pStyle w:val="75"/>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kern w:val="2"/>
                <w:sz w:val="24"/>
                <w:szCs w:val="24"/>
                <w14:textFill>
                  <w14:solidFill>
                    <w14:schemeClr w14:val="tx1"/>
                  </w14:solidFill>
                </w14:textFill>
              </w:rPr>
            </w:pPr>
            <w:r>
              <w:rPr>
                <w:rFonts w:hint="eastAsia" w:ascii="宋体" w:eastAsia="宋体" w:cs="宋体"/>
                <w:b w:val="0"/>
                <w:bCs/>
                <w:color w:val="000000" w:themeColor="text1"/>
                <w:kern w:val="2"/>
                <w:sz w:val="24"/>
                <w:szCs w:val="24"/>
                <w14:textFill>
                  <w14:solidFill>
                    <w14:schemeClr w14:val="tx1"/>
                  </w14:solidFill>
                </w14:textFill>
              </w:rPr>
              <w:t>质保期：</w:t>
            </w:r>
            <w:r>
              <w:rPr>
                <w:rFonts w:hint="eastAsia" w:ascii="宋体" w:eastAsia="宋体" w:cs="宋体"/>
                <w:b w:val="0"/>
                <w:bCs/>
                <w:color w:val="000000" w:themeColor="text1"/>
                <w:kern w:val="2"/>
                <w:sz w:val="24"/>
                <w:szCs w:val="24"/>
                <w:lang w:val="en-US" w:eastAsia="zh-CN"/>
                <w14:textFill>
                  <w14:solidFill>
                    <w14:schemeClr w14:val="tx1"/>
                  </w14:solidFill>
                </w14:textFill>
              </w:rPr>
              <w:t>2</w:t>
            </w:r>
            <w:r>
              <w:rPr>
                <w:rFonts w:hint="eastAsia" w:ascii="宋体" w:eastAsia="宋体" w:cs="宋体"/>
                <w:b w:val="0"/>
                <w:bCs/>
                <w:color w:val="000000" w:themeColor="text1"/>
                <w:kern w:val="2"/>
                <w:sz w:val="24"/>
                <w:szCs w:val="24"/>
                <w14:textFill>
                  <w14:solidFill>
                    <w14:schemeClr w14:val="tx1"/>
                  </w14:solidFill>
                </w14:textFill>
              </w:rPr>
              <w:t xml:space="preserve"> 年。 </w:t>
            </w:r>
          </w:p>
          <w:p w14:paraId="4450ABBC">
            <w:pPr>
              <w:pStyle w:val="75"/>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sz w:val="24"/>
                <w:szCs w:val="24"/>
                <w14:textFill>
                  <w14:solidFill>
                    <w14:schemeClr w14:val="tx1"/>
                  </w14:solidFill>
                </w14:textFill>
              </w:rPr>
            </w:pPr>
            <w:r>
              <w:rPr>
                <w:rFonts w:hint="eastAsia" w:ascii="宋体" w:eastAsia="宋体" w:cs="宋体"/>
                <w:b w:val="0"/>
                <w:color w:val="000000" w:themeColor="text1"/>
                <w:sz w:val="24"/>
                <w:szCs w:val="24"/>
                <w14:textFill>
                  <w14:solidFill>
                    <w14:schemeClr w14:val="tx1"/>
                  </w14:solidFill>
                </w14:textFill>
              </w:rPr>
              <w:t>采购方式：竞争性谈判。</w:t>
            </w:r>
          </w:p>
          <w:p w14:paraId="31C318C8">
            <w:pPr>
              <w:pStyle w:val="75"/>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sz w:val="24"/>
                <w:szCs w:val="24"/>
                <w14:textFill>
                  <w14:solidFill>
                    <w14:schemeClr w14:val="tx1"/>
                  </w14:solidFill>
                </w14:textFill>
              </w:rPr>
            </w:pPr>
            <w:r>
              <w:rPr>
                <w:rFonts w:hint="eastAsia" w:ascii="宋体" w:eastAsia="宋体" w:cs="宋体"/>
                <w:b w:val="0"/>
                <w:color w:val="000000" w:themeColor="text1"/>
                <w:sz w:val="24"/>
                <w:szCs w:val="24"/>
                <w14:textFill>
                  <w14:solidFill>
                    <w14:schemeClr w14:val="tx1"/>
                  </w14:solidFill>
                </w14:textFill>
              </w:rPr>
              <w:t>资格审查方式：资格后审。</w:t>
            </w:r>
          </w:p>
          <w:p w14:paraId="6C2561FB">
            <w:pPr>
              <w:widowControl/>
              <w:spacing w:line="500" w:lineRule="exact"/>
              <w:ind w:firstLine="240" w:firstLineChars="100"/>
              <w:rPr>
                <w:rFonts w:ascii="宋体" w:hAnsi="宋体" w:cs="宋体"/>
                <w:b/>
                <w:bCs/>
                <w:color w:val="000000" w:themeColor="text1"/>
                <w:sz w:val="24"/>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付款方式：项目完工验收合格后支付合同价款的</w:t>
            </w:r>
            <w:r>
              <w:rPr>
                <w:rFonts w:hint="eastAsia" w:ascii="宋体" w:hAnsi="宋体" w:cs="宋体"/>
                <w:b w:val="0"/>
                <w:color w:val="000000" w:themeColor="text1"/>
                <w:kern w:val="0"/>
                <w:sz w:val="24"/>
                <w:szCs w:val="24"/>
                <w:lang w:val="en-US" w:eastAsia="zh-CN" w:bidi="ar-SA"/>
                <w14:textFill>
                  <w14:solidFill>
                    <w14:schemeClr w14:val="tx1"/>
                  </w14:solidFill>
                </w14:textFill>
              </w:rPr>
              <w:t>75</w:t>
            </w: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%，一年期满支付合同价款的</w:t>
            </w:r>
            <w:r>
              <w:rPr>
                <w:rFonts w:hint="eastAsia" w:ascii="宋体" w:hAnsi="宋体" w:cs="宋体"/>
                <w:b w:val="0"/>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5%，两年期满支付合同价款的</w:t>
            </w:r>
            <w:r>
              <w:rPr>
                <w:rFonts w:hint="eastAsia" w:ascii="宋体" w:hAnsi="宋体" w:cs="宋体"/>
                <w:b w:val="0"/>
                <w:color w:val="000000" w:themeColor="text1"/>
                <w:kern w:val="0"/>
                <w:sz w:val="24"/>
                <w:szCs w:val="24"/>
                <w:lang w:val="en-US" w:eastAsia="zh-CN" w:bidi="ar-SA"/>
                <w14:textFill>
                  <w14:solidFill>
                    <w14:schemeClr w14:val="tx1"/>
                  </w14:solidFill>
                </w14:textFill>
              </w:rPr>
              <w:t>10</w:t>
            </w: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w:t>
            </w:r>
          </w:p>
        </w:tc>
      </w:tr>
      <w:tr w14:paraId="153A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2" w:type="dxa"/>
            <w:vAlign w:val="center"/>
          </w:tcPr>
          <w:p w14:paraId="3E3AE7CE">
            <w:pPr>
              <w:pStyle w:val="75"/>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2</w:t>
            </w:r>
          </w:p>
        </w:tc>
        <w:tc>
          <w:tcPr>
            <w:tcW w:w="8547" w:type="dxa"/>
            <w:vAlign w:val="center"/>
          </w:tcPr>
          <w:p w14:paraId="013738E5">
            <w:pPr>
              <w:pStyle w:val="75"/>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sz w:val="24"/>
                <w:szCs w:val="24"/>
                <w14:textFill>
                  <w14:solidFill>
                    <w14:schemeClr w14:val="tx1"/>
                  </w14:solidFill>
                </w14:textFill>
              </w:rPr>
            </w:pPr>
            <w:r>
              <w:rPr>
                <w:rFonts w:hint="eastAsia" w:ascii="宋体" w:eastAsia="宋体" w:cs="宋体"/>
                <w:b w:val="0"/>
                <w:color w:val="000000" w:themeColor="text1"/>
                <w:sz w:val="24"/>
                <w:szCs w:val="24"/>
                <w14:textFill>
                  <w14:solidFill>
                    <w14:schemeClr w14:val="tx1"/>
                  </w14:solidFill>
                </w14:textFill>
              </w:rPr>
              <w:t>资金来源：</w:t>
            </w:r>
            <w:r>
              <w:rPr>
                <w:rFonts w:hint="eastAsia" w:ascii="宋体" w:hAnsi="宋体" w:eastAsia="宋体" w:cs="宋体"/>
                <w:b w:val="0"/>
                <w:bCs/>
                <w:color w:val="auto"/>
                <w:kern w:val="2"/>
                <w:sz w:val="24"/>
                <w:szCs w:val="24"/>
                <w:highlight w:val="none"/>
                <w:lang w:val="en-US" w:eastAsia="zh-CN" w:bidi="ar-SA"/>
              </w:rPr>
              <w:t>上级财政资金</w:t>
            </w:r>
          </w:p>
        </w:tc>
      </w:tr>
      <w:tr w14:paraId="5E76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732" w:type="dxa"/>
            <w:vAlign w:val="center"/>
          </w:tcPr>
          <w:p w14:paraId="22B69C4A">
            <w:pPr>
              <w:pStyle w:val="75"/>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3</w:t>
            </w:r>
          </w:p>
        </w:tc>
        <w:tc>
          <w:tcPr>
            <w:tcW w:w="8547" w:type="dxa"/>
            <w:vAlign w:val="center"/>
          </w:tcPr>
          <w:p w14:paraId="79E6DB18">
            <w:pPr>
              <w:adjustRightInd w:val="0"/>
              <w:snapToGrid w:val="0"/>
              <w:spacing w:line="460" w:lineRule="exact"/>
              <w:ind w:firstLine="241" w:firstLineChars="1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获取采购文件时间：202</w:t>
            </w:r>
            <w:r>
              <w:rPr>
                <w:rFonts w:hint="eastAsia" w:ascii="宋体" w:hAnsi="宋体" w:cs="宋体"/>
                <w:b/>
                <w:bCs/>
                <w:color w:val="000000" w:themeColor="text1"/>
                <w:sz w:val="24"/>
                <w:lang w:val="en-US" w:eastAsia="zh-CN"/>
                <w14:textFill>
                  <w14:solidFill>
                    <w14:schemeClr w14:val="tx1"/>
                  </w14:solidFill>
                </w14:textFill>
              </w:rPr>
              <w:t>6</w:t>
            </w:r>
            <w:r>
              <w:rPr>
                <w:rFonts w:hint="eastAsia" w:ascii="宋体" w:hAnsi="宋体" w:cs="宋体"/>
                <w:b/>
                <w:bCs/>
                <w:color w:val="000000" w:themeColor="text1"/>
                <w:sz w:val="24"/>
                <w14:textFill>
                  <w14:solidFill>
                    <w14:schemeClr w14:val="tx1"/>
                  </w14:solidFill>
                </w14:textFill>
              </w:rPr>
              <w:t>年</w:t>
            </w:r>
            <w:r>
              <w:rPr>
                <w:rFonts w:hint="eastAsia" w:ascii="宋体" w:hAnsi="宋体" w:cs="宋体"/>
                <w:b/>
                <w:bCs/>
                <w:color w:val="000000" w:themeColor="text1"/>
                <w:sz w:val="24"/>
                <w:u w:val="single"/>
                <w14:textFill>
                  <w14:solidFill>
                    <w14:schemeClr w14:val="tx1"/>
                  </w14:solidFill>
                </w14:textFill>
              </w:rPr>
              <w:t xml:space="preserve"> 0</w:t>
            </w:r>
            <w:r>
              <w:rPr>
                <w:rFonts w:hint="eastAsia" w:ascii="宋体" w:hAnsi="宋体" w:cs="宋体"/>
                <w:b/>
                <w:bCs/>
                <w:color w:val="000000" w:themeColor="text1"/>
                <w:sz w:val="24"/>
                <w:u w:val="single"/>
                <w:lang w:val="en-US" w:eastAsia="zh-CN"/>
                <w14:textFill>
                  <w14:solidFill>
                    <w14:schemeClr w14:val="tx1"/>
                  </w14:solidFill>
                </w14:textFill>
              </w:rPr>
              <w:t>5</w:t>
            </w:r>
            <w:r>
              <w:rPr>
                <w:rFonts w:hint="eastAsia" w:ascii="宋体" w:hAnsi="宋体" w:cs="宋体"/>
                <w:b/>
                <w:bCs/>
                <w:color w:val="000000" w:themeColor="text1"/>
                <w:sz w:val="24"/>
                <w14:textFill>
                  <w14:solidFill>
                    <w14:schemeClr w14:val="tx1"/>
                  </w14:solidFill>
                </w14:textFill>
              </w:rPr>
              <w:t>月</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b/>
                <w:bCs/>
                <w:color w:val="000000" w:themeColor="text1"/>
                <w:sz w:val="24"/>
                <w:u w:val="single"/>
                <w:lang w:val="en-US" w:eastAsia="zh-CN"/>
                <w14:textFill>
                  <w14:solidFill>
                    <w14:schemeClr w14:val="tx1"/>
                  </w14:solidFill>
                </w14:textFill>
              </w:rPr>
              <w:t>19</w:t>
            </w:r>
            <w:r>
              <w:rPr>
                <w:rFonts w:hint="eastAsia" w:ascii="宋体" w:hAnsi="宋体" w:cs="宋体"/>
                <w:b/>
                <w:bCs/>
                <w:color w:val="000000" w:themeColor="text1"/>
                <w:sz w:val="24"/>
                <w14:textFill>
                  <w14:solidFill>
                    <w14:schemeClr w14:val="tx1"/>
                  </w14:solidFill>
                </w14:textFill>
              </w:rPr>
              <w:t>日至202</w:t>
            </w:r>
            <w:r>
              <w:rPr>
                <w:rFonts w:hint="eastAsia" w:ascii="宋体" w:hAnsi="宋体" w:cs="宋体"/>
                <w:b/>
                <w:bCs/>
                <w:color w:val="000000" w:themeColor="text1"/>
                <w:sz w:val="24"/>
                <w:lang w:val="en-US" w:eastAsia="zh-CN"/>
                <w14:textFill>
                  <w14:solidFill>
                    <w14:schemeClr w14:val="tx1"/>
                  </w14:solidFill>
                </w14:textFill>
              </w:rPr>
              <w:t>6</w:t>
            </w:r>
            <w:r>
              <w:rPr>
                <w:rFonts w:hint="eastAsia" w:ascii="宋体" w:hAnsi="宋体" w:cs="宋体"/>
                <w:b/>
                <w:bCs/>
                <w:color w:val="000000" w:themeColor="text1"/>
                <w:sz w:val="24"/>
                <w14:textFill>
                  <w14:solidFill>
                    <w14:schemeClr w14:val="tx1"/>
                  </w14:solidFill>
                </w14:textFill>
              </w:rPr>
              <w:t>年</w:t>
            </w:r>
            <w:r>
              <w:rPr>
                <w:rFonts w:hint="eastAsia" w:ascii="宋体" w:hAnsi="宋体" w:cs="宋体"/>
                <w:b/>
                <w:bCs/>
                <w:color w:val="000000" w:themeColor="text1"/>
                <w:sz w:val="24"/>
                <w:u w:val="single"/>
                <w14:textFill>
                  <w14:solidFill>
                    <w14:schemeClr w14:val="tx1"/>
                  </w14:solidFill>
                </w14:textFill>
              </w:rPr>
              <w:t xml:space="preserve"> 0</w:t>
            </w:r>
            <w:r>
              <w:rPr>
                <w:rFonts w:hint="eastAsia" w:ascii="宋体" w:hAnsi="宋体" w:cs="宋体"/>
                <w:b/>
                <w:bCs/>
                <w:color w:val="000000" w:themeColor="text1"/>
                <w:sz w:val="24"/>
                <w:u w:val="single"/>
                <w:lang w:val="en-US" w:eastAsia="zh-CN"/>
                <w14:textFill>
                  <w14:solidFill>
                    <w14:schemeClr w14:val="tx1"/>
                  </w14:solidFill>
                </w14:textFill>
              </w:rPr>
              <w:t>5</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月</w:t>
            </w:r>
            <w:r>
              <w:rPr>
                <w:rFonts w:hint="eastAsia" w:ascii="宋体" w:hAnsi="宋体" w:cs="宋体"/>
                <w:b/>
                <w:bCs/>
                <w:color w:val="000000" w:themeColor="text1"/>
                <w:sz w:val="24"/>
                <w:u w:val="single"/>
                <w:lang w:val="en-US" w:eastAsia="zh-CN"/>
                <w14:textFill>
                  <w14:solidFill>
                    <w14:schemeClr w14:val="tx1"/>
                  </w14:solidFill>
                </w14:textFill>
              </w:rPr>
              <w:t xml:space="preserve"> 21 </w:t>
            </w:r>
            <w:r>
              <w:rPr>
                <w:rFonts w:hint="eastAsia" w:ascii="宋体" w:hAnsi="宋体" w:cs="宋体"/>
                <w:b/>
                <w:bCs/>
                <w:color w:val="000000" w:themeColor="text1"/>
                <w:sz w:val="24"/>
                <w14:textFill>
                  <w14:solidFill>
                    <w14:schemeClr w14:val="tx1"/>
                  </w14:solidFill>
                </w14:textFill>
              </w:rPr>
              <w:t>日（北京时间）；</w:t>
            </w:r>
            <w:r>
              <w:rPr>
                <w:rFonts w:hint="eastAsia" w:ascii="宋体" w:hAnsi="宋体" w:cs="宋体"/>
                <w:color w:val="000000" w:themeColor="text1"/>
                <w:sz w:val="24"/>
                <w14:textFill>
                  <w14:solidFill>
                    <w14:schemeClr w14:val="tx1"/>
                  </w14:solidFill>
                </w14:textFill>
              </w:rPr>
              <w:t> </w:t>
            </w:r>
          </w:p>
          <w:p w14:paraId="03D62B29">
            <w:pPr>
              <w:adjustRightInd w:val="0"/>
              <w:snapToGrid w:val="0"/>
              <w:spacing w:line="460" w:lineRule="exact"/>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地点：焦作市公共资源交易中心网站会员系统  </w:t>
            </w:r>
          </w:p>
          <w:p w14:paraId="6FB03A03">
            <w:pPr>
              <w:adjustRightInd w:val="0"/>
              <w:snapToGrid w:val="0"/>
              <w:spacing w:line="460" w:lineRule="exact"/>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方式：凡有意参加投标者，请登录焦作市公共资源交易中心官网站进行网上下载谈判文件。</w:t>
            </w:r>
            <w:r>
              <w:rPr>
                <w:rFonts w:hint="eastAsia" w:ascii="宋体" w:hAnsi="宋体" w:cs="宋体"/>
                <w:b/>
                <w:bCs/>
                <w:color w:val="000000" w:themeColor="text1"/>
                <w:kern w:val="0"/>
                <w:sz w:val="24"/>
                <w14:textFill>
                  <w14:solidFill>
                    <w14:schemeClr w14:val="tx1"/>
                  </w14:solidFill>
                </w14:textFill>
              </w:rPr>
              <w:t>未通过会员系统完成下载文件，响应性文件</w:t>
            </w:r>
            <w:r>
              <w:rPr>
                <w:rFonts w:hint="eastAsia" w:ascii="宋体" w:hAnsi="宋体" w:cs="宋体"/>
                <w:b/>
                <w:bCs/>
                <w:color w:val="000000" w:themeColor="text1"/>
                <w:sz w:val="24"/>
                <w14:textFill>
                  <w14:solidFill>
                    <w14:schemeClr w14:val="tx1"/>
                  </w14:solidFill>
                </w14:textFill>
              </w:rPr>
              <w:t>视为无效</w:t>
            </w:r>
            <w:r>
              <w:rPr>
                <w:rFonts w:hint="eastAsia" w:ascii="宋体" w:hAnsi="宋体" w:cs="宋体"/>
                <w:color w:val="000000" w:themeColor="text1"/>
                <w:sz w:val="24"/>
                <w14:textFill>
                  <w14:solidFill>
                    <w14:schemeClr w14:val="tx1"/>
                  </w14:solidFill>
                </w14:textFill>
              </w:rPr>
              <w:t>（联系电话：0391-3568920，QQ：232850725、361532918（群））。</w:t>
            </w:r>
          </w:p>
          <w:p w14:paraId="1074F50D">
            <w:pPr>
              <w:adjustRightInd w:val="0"/>
              <w:snapToGrid w:val="0"/>
              <w:spacing w:line="460" w:lineRule="exact"/>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采购文件售价：0元。</w:t>
            </w:r>
          </w:p>
        </w:tc>
      </w:tr>
      <w:tr w14:paraId="1767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32" w:type="dxa"/>
            <w:vAlign w:val="center"/>
          </w:tcPr>
          <w:p w14:paraId="1FE8564F">
            <w:pPr>
              <w:pStyle w:val="75"/>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4</w:t>
            </w:r>
          </w:p>
        </w:tc>
        <w:tc>
          <w:tcPr>
            <w:tcW w:w="8547" w:type="dxa"/>
            <w:vAlign w:val="center"/>
          </w:tcPr>
          <w:p w14:paraId="10D25F59">
            <w:pPr>
              <w:pStyle w:val="75"/>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sz w:val="24"/>
                <w:szCs w:val="24"/>
                <w:u w:val="single"/>
                <w14:textFill>
                  <w14:solidFill>
                    <w14:schemeClr w14:val="tx1"/>
                  </w14:solidFill>
                </w14:textFill>
              </w:rPr>
            </w:pPr>
            <w:r>
              <w:rPr>
                <w:rFonts w:hint="eastAsia" w:ascii="宋体" w:eastAsia="宋体" w:cs="宋体"/>
                <w:b w:val="0"/>
                <w:bCs/>
                <w:color w:val="000000" w:themeColor="text1"/>
                <w:sz w:val="24"/>
                <w:szCs w:val="24"/>
                <w14:textFill>
                  <w14:solidFill>
                    <w14:schemeClr w14:val="tx1"/>
                  </w14:solidFill>
                </w14:textFill>
              </w:rPr>
              <w:t>响应文件份数：加密的电子响应文件壹份（.jztf 格式在会员系统指定位置上传）。</w:t>
            </w:r>
          </w:p>
          <w:p w14:paraId="0B4CFE96">
            <w:pPr>
              <w:pStyle w:val="75"/>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sz w:val="24"/>
                <w:szCs w:val="24"/>
                <w14:textFill>
                  <w14:solidFill>
                    <w14:schemeClr w14:val="tx1"/>
                  </w14:solidFill>
                </w14:textFill>
              </w:rPr>
            </w:pPr>
            <w:r>
              <w:rPr>
                <w:rFonts w:hint="eastAsia" w:ascii="宋体" w:eastAsia="宋体" w:cs="宋体"/>
                <w:b w:val="0"/>
                <w:bCs/>
                <w:color w:val="000000" w:themeColor="text1"/>
                <w:sz w:val="24"/>
                <w:szCs w:val="24"/>
                <w14:textFill>
                  <w14:solidFill>
                    <w14:schemeClr w14:val="tx1"/>
                  </w14:solidFill>
                </w14:textFill>
              </w:rPr>
              <w:t>投标保证金：无。</w:t>
            </w:r>
          </w:p>
          <w:p w14:paraId="582691C9">
            <w:pPr>
              <w:pStyle w:val="75"/>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sz w:val="24"/>
                <w:szCs w:val="24"/>
                <w14:textFill>
                  <w14:solidFill>
                    <w14:schemeClr w14:val="tx1"/>
                  </w14:solidFill>
                </w14:textFill>
              </w:rPr>
            </w:pPr>
            <w:r>
              <w:rPr>
                <w:rFonts w:hint="eastAsia" w:ascii="宋体" w:eastAsia="宋体" w:cs="宋体"/>
                <w:b w:val="0"/>
                <w:bCs/>
                <w:color w:val="000000" w:themeColor="text1"/>
                <w:sz w:val="24"/>
                <w:szCs w:val="24"/>
                <w14:textFill>
                  <w14:solidFill>
                    <w14:schemeClr w14:val="tx1"/>
                  </w14:solidFill>
                </w14:textFill>
              </w:rPr>
              <w:t>履约保证金：无。</w:t>
            </w:r>
          </w:p>
          <w:p w14:paraId="3F5F4FFA">
            <w:pPr>
              <w:pStyle w:val="75"/>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sz w:val="24"/>
                <w:szCs w:val="24"/>
                <w14:textFill>
                  <w14:solidFill>
                    <w14:schemeClr w14:val="tx1"/>
                  </w14:solidFill>
                </w14:textFill>
              </w:rPr>
            </w:pPr>
            <w:r>
              <w:rPr>
                <w:rFonts w:hint="eastAsia" w:ascii="宋体" w:eastAsia="宋体" w:cs="宋体"/>
                <w:b w:val="0"/>
                <w:bCs/>
                <w:color w:val="000000" w:themeColor="text1"/>
                <w:sz w:val="24"/>
                <w:szCs w:val="24"/>
                <w14:textFill>
                  <w14:solidFill>
                    <w14:schemeClr w14:val="tx1"/>
                  </w14:solidFill>
                </w14:textFill>
              </w:rPr>
              <w:t>质保金：无。</w:t>
            </w:r>
          </w:p>
        </w:tc>
      </w:tr>
      <w:tr w14:paraId="5E03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2074ADE8">
            <w:pPr>
              <w:pStyle w:val="75"/>
              <w:widowControl w:val="0"/>
              <w:pBdr>
                <w:bottom w:val="none" w:color="auto" w:sz="0" w:space="0"/>
              </w:pBdr>
              <w:spacing w:beforeAutospacing="0" w:afterAutospacing="0" w:line="360" w:lineRule="auto"/>
              <w:textAlignment w:val="auto"/>
              <w:rPr>
                <w:rFonts w:ascii="宋体" w:eastAsia="宋体" w:cs="宋体"/>
                <w:b w:val="0"/>
                <w:bCs/>
                <w:color w:val="000000" w:themeColor="text1"/>
                <w:sz w:val="24"/>
                <w:szCs w:val="24"/>
                <w14:textFill>
                  <w14:solidFill>
                    <w14:schemeClr w14:val="tx1"/>
                  </w14:solidFill>
                </w14:textFill>
              </w:rPr>
            </w:pPr>
            <w:r>
              <w:rPr>
                <w:rFonts w:hint="eastAsia" w:ascii="宋体" w:eastAsia="宋体" w:cs="宋体"/>
                <w:b w:val="0"/>
                <w:bCs/>
                <w:color w:val="000000" w:themeColor="text1"/>
                <w:sz w:val="24"/>
                <w:szCs w:val="24"/>
                <w14:textFill>
                  <w14:solidFill>
                    <w14:schemeClr w14:val="tx1"/>
                  </w14:solidFill>
                </w14:textFill>
              </w:rPr>
              <w:t>5</w:t>
            </w:r>
          </w:p>
        </w:tc>
        <w:tc>
          <w:tcPr>
            <w:tcW w:w="8547" w:type="dxa"/>
            <w:vAlign w:val="center"/>
          </w:tcPr>
          <w:p w14:paraId="2B731EE5">
            <w:pPr>
              <w:pStyle w:val="75"/>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sz w:val="24"/>
                <w:szCs w:val="24"/>
                <w14:textFill>
                  <w14:solidFill>
                    <w14:schemeClr w14:val="tx1"/>
                  </w14:solidFill>
                </w14:textFill>
              </w:rPr>
            </w:pPr>
            <w:r>
              <w:rPr>
                <w:rFonts w:hint="eastAsia" w:ascii="宋体" w:eastAsia="宋体" w:cs="宋体"/>
                <w:b w:val="0"/>
                <w:color w:val="000000" w:themeColor="text1"/>
                <w:sz w:val="24"/>
                <w:szCs w:val="24"/>
                <w14:textFill>
                  <w14:solidFill>
                    <w14:schemeClr w14:val="tx1"/>
                  </w14:solidFill>
                </w14:textFill>
              </w:rPr>
              <w:t>响应文件递交截止时间：</w:t>
            </w:r>
            <w:r>
              <w:rPr>
                <w:rFonts w:hint="eastAsia" w:ascii="宋体" w:eastAsia="宋体" w:cs="宋体"/>
                <w:bCs/>
                <w:color w:val="000000" w:themeColor="text1"/>
                <w:sz w:val="24"/>
                <w:szCs w:val="24"/>
                <w14:textFill>
                  <w14:solidFill>
                    <w14:schemeClr w14:val="tx1"/>
                  </w14:solidFill>
                </w14:textFill>
              </w:rPr>
              <w:t>202</w:t>
            </w:r>
            <w:r>
              <w:rPr>
                <w:rFonts w:hint="eastAsia" w:ascii="宋体" w:eastAsia="宋体" w:cs="宋体"/>
                <w:bCs/>
                <w:color w:val="000000" w:themeColor="text1"/>
                <w:sz w:val="24"/>
                <w:szCs w:val="24"/>
                <w:lang w:val="en-US" w:eastAsia="zh-CN"/>
                <w14:textFill>
                  <w14:solidFill>
                    <w14:schemeClr w14:val="tx1"/>
                  </w14:solidFill>
                </w14:textFill>
              </w:rPr>
              <w:t>6</w:t>
            </w:r>
            <w:r>
              <w:rPr>
                <w:rFonts w:hint="eastAsia" w:ascii="宋体" w:eastAsia="宋体" w:cs="宋体"/>
                <w:bCs/>
                <w:color w:val="000000" w:themeColor="text1"/>
                <w:sz w:val="24"/>
                <w:szCs w:val="24"/>
                <w14:textFill>
                  <w14:solidFill>
                    <w14:schemeClr w14:val="tx1"/>
                  </w14:solidFill>
                </w14:textFill>
              </w:rPr>
              <w:t>年</w:t>
            </w:r>
            <w:r>
              <w:rPr>
                <w:rFonts w:hint="eastAsia" w:ascii="宋体" w:eastAsia="宋体" w:cs="宋体"/>
                <w:bCs/>
                <w:color w:val="000000" w:themeColor="text1"/>
                <w:sz w:val="24"/>
                <w:szCs w:val="24"/>
                <w:u w:val="single"/>
                <w14:textFill>
                  <w14:solidFill>
                    <w14:schemeClr w14:val="tx1"/>
                  </w14:solidFill>
                </w14:textFill>
              </w:rPr>
              <w:t xml:space="preserve"> 0</w:t>
            </w:r>
            <w:r>
              <w:rPr>
                <w:rFonts w:hint="eastAsia" w:ascii="宋体" w:eastAsia="宋体" w:cs="宋体"/>
                <w:bCs/>
                <w:color w:val="000000" w:themeColor="text1"/>
                <w:sz w:val="24"/>
                <w:szCs w:val="24"/>
                <w:u w:val="single"/>
                <w:lang w:val="en-US" w:eastAsia="zh-CN"/>
                <w14:textFill>
                  <w14:solidFill>
                    <w14:schemeClr w14:val="tx1"/>
                  </w14:solidFill>
                </w14:textFill>
              </w:rPr>
              <w:t>5</w:t>
            </w:r>
            <w:r>
              <w:rPr>
                <w:rFonts w:hint="eastAsia" w:ascii="宋体" w:cs="宋体"/>
                <w:bCs/>
                <w:color w:val="000000" w:themeColor="text1"/>
                <w:sz w:val="24"/>
                <w:szCs w:val="24"/>
                <w:u w:val="single"/>
                <w14:textFill>
                  <w14:solidFill>
                    <w14:schemeClr w14:val="tx1"/>
                  </w14:solidFill>
                </w14:textFill>
              </w:rPr>
              <w:t xml:space="preserve"> </w:t>
            </w:r>
            <w:r>
              <w:rPr>
                <w:rFonts w:hint="eastAsia" w:ascii="宋体" w:eastAsia="宋体" w:cs="宋体"/>
                <w:bCs/>
                <w:color w:val="000000" w:themeColor="text1"/>
                <w:sz w:val="24"/>
                <w:szCs w:val="24"/>
                <w14:textFill>
                  <w14:solidFill>
                    <w14:schemeClr w14:val="tx1"/>
                  </w14:solidFill>
                </w14:textFill>
              </w:rPr>
              <w:t>月</w:t>
            </w:r>
            <w:r>
              <w:rPr>
                <w:rFonts w:hint="eastAsia" w:ascii="宋体" w:eastAsia="宋体" w:cs="宋体"/>
                <w:bCs/>
                <w:color w:val="000000" w:themeColor="text1"/>
                <w:sz w:val="24"/>
                <w:szCs w:val="24"/>
                <w:u w:val="single"/>
                <w14:textFill>
                  <w14:solidFill>
                    <w14:schemeClr w14:val="tx1"/>
                  </w14:solidFill>
                </w14:textFill>
              </w:rPr>
              <w:t xml:space="preserve"> </w:t>
            </w:r>
            <w:r>
              <w:rPr>
                <w:rFonts w:hint="eastAsia" w:ascii="宋体" w:eastAsia="宋体" w:cs="宋体"/>
                <w:bCs/>
                <w:color w:val="000000" w:themeColor="text1"/>
                <w:sz w:val="24"/>
                <w:szCs w:val="24"/>
                <w:u w:val="single"/>
                <w:lang w:val="en-US" w:eastAsia="zh-CN"/>
                <w14:textFill>
                  <w14:solidFill>
                    <w14:schemeClr w14:val="tx1"/>
                  </w14:solidFill>
                </w14:textFill>
              </w:rPr>
              <w:t>22</w:t>
            </w:r>
            <w:r>
              <w:rPr>
                <w:rFonts w:hint="eastAsia" w:ascii="宋体" w:eastAsia="宋体" w:cs="宋体"/>
                <w:bCs/>
                <w:color w:val="000000" w:themeColor="text1"/>
                <w:sz w:val="24"/>
                <w:szCs w:val="24"/>
                <w:u w:val="single"/>
                <w14:textFill>
                  <w14:solidFill>
                    <w14:schemeClr w14:val="tx1"/>
                  </w14:solidFill>
                </w14:textFill>
              </w:rPr>
              <w:t xml:space="preserve"> </w:t>
            </w:r>
            <w:r>
              <w:rPr>
                <w:rFonts w:hint="eastAsia" w:ascii="宋体" w:eastAsia="宋体" w:cs="宋体"/>
                <w:bCs/>
                <w:color w:val="000000" w:themeColor="text1"/>
                <w:sz w:val="24"/>
                <w:szCs w:val="24"/>
                <w14:textFill>
                  <w14:solidFill>
                    <w14:schemeClr w14:val="tx1"/>
                  </w14:solidFill>
                </w14:textFill>
              </w:rPr>
              <w:t>日</w:t>
            </w:r>
            <w:r>
              <w:rPr>
                <w:rFonts w:hint="eastAsia" w:ascii="宋体" w:eastAsia="宋体" w:cs="宋体"/>
                <w:bCs/>
                <w:color w:val="000000" w:themeColor="text1"/>
                <w:sz w:val="24"/>
                <w:szCs w:val="24"/>
                <w:u w:val="single"/>
                <w14:textFill>
                  <w14:solidFill>
                    <w14:schemeClr w14:val="tx1"/>
                  </w14:solidFill>
                </w14:textFill>
              </w:rPr>
              <w:t>0</w:t>
            </w:r>
            <w:r>
              <w:rPr>
                <w:rFonts w:hint="eastAsia" w:ascii="宋体" w:eastAsia="宋体" w:cs="宋体"/>
                <w:bCs/>
                <w:color w:val="000000" w:themeColor="text1"/>
                <w:sz w:val="24"/>
                <w:szCs w:val="24"/>
                <w:u w:val="single"/>
                <w:lang w:val="en-US" w:eastAsia="zh-CN"/>
                <w14:textFill>
                  <w14:solidFill>
                    <w14:schemeClr w14:val="tx1"/>
                  </w14:solidFill>
                </w14:textFill>
              </w:rPr>
              <w:t>8</w:t>
            </w:r>
            <w:r>
              <w:rPr>
                <w:rFonts w:hint="eastAsia" w:ascii="宋体" w:eastAsia="宋体" w:cs="宋体"/>
                <w:bCs/>
                <w:color w:val="000000" w:themeColor="text1"/>
                <w:sz w:val="24"/>
                <w:szCs w:val="24"/>
                <w14:textFill>
                  <w14:solidFill>
                    <w14:schemeClr w14:val="tx1"/>
                  </w14:solidFill>
                </w14:textFill>
              </w:rPr>
              <w:t>时</w:t>
            </w:r>
            <w:r>
              <w:rPr>
                <w:rFonts w:hint="eastAsia" w:ascii="宋体" w:eastAsia="宋体" w:cs="宋体"/>
                <w:bCs/>
                <w:color w:val="000000" w:themeColor="text1"/>
                <w:sz w:val="24"/>
                <w:szCs w:val="24"/>
                <w:u w:val="single"/>
                <w:lang w:val="en-US" w:eastAsia="zh-CN"/>
                <w14:textFill>
                  <w14:solidFill>
                    <w14:schemeClr w14:val="tx1"/>
                  </w14:solidFill>
                </w14:textFill>
              </w:rPr>
              <w:t>3</w:t>
            </w:r>
            <w:r>
              <w:rPr>
                <w:rFonts w:hint="eastAsia" w:ascii="宋体" w:eastAsia="宋体" w:cs="宋体"/>
                <w:bCs/>
                <w:color w:val="000000" w:themeColor="text1"/>
                <w:sz w:val="24"/>
                <w:szCs w:val="24"/>
                <w:u w:val="single"/>
                <w14:textFill>
                  <w14:solidFill>
                    <w14:schemeClr w14:val="tx1"/>
                  </w14:solidFill>
                </w14:textFill>
              </w:rPr>
              <w:t>0</w:t>
            </w:r>
            <w:r>
              <w:rPr>
                <w:rFonts w:hint="eastAsia" w:ascii="宋体" w:eastAsia="宋体" w:cs="宋体"/>
                <w:bCs/>
                <w:color w:val="000000" w:themeColor="text1"/>
                <w:sz w:val="24"/>
                <w:szCs w:val="24"/>
                <w14:textFill>
                  <w14:solidFill>
                    <w14:schemeClr w14:val="tx1"/>
                  </w14:solidFill>
                </w14:textFill>
              </w:rPr>
              <w:t>分（北京时间）；</w:t>
            </w:r>
            <w:r>
              <w:rPr>
                <w:rFonts w:hint="eastAsia" w:ascii="宋体" w:eastAsia="宋体" w:cs="宋体"/>
                <w:color w:val="000000" w:themeColor="text1"/>
                <w:sz w:val="24"/>
                <w14:textFill>
                  <w14:solidFill>
                    <w14:schemeClr w14:val="tx1"/>
                  </w14:solidFill>
                </w14:textFill>
              </w:rPr>
              <w:t> </w:t>
            </w:r>
          </w:p>
          <w:p w14:paraId="74810E62">
            <w:pPr>
              <w:pStyle w:val="75"/>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sz w:val="24"/>
                <w:szCs w:val="24"/>
                <w14:textFill>
                  <w14:solidFill>
                    <w14:schemeClr w14:val="tx1"/>
                  </w14:solidFill>
                </w14:textFill>
              </w:rPr>
            </w:pPr>
            <w:r>
              <w:rPr>
                <w:rFonts w:hint="eastAsia" w:ascii="宋体" w:eastAsia="宋体" w:cs="宋体"/>
                <w:b w:val="0"/>
                <w:color w:val="000000" w:themeColor="text1"/>
                <w:sz w:val="24"/>
                <w:szCs w:val="24"/>
                <w14:textFill>
                  <w14:solidFill>
                    <w14:schemeClr w14:val="tx1"/>
                  </w14:solidFill>
                </w14:textFill>
              </w:rPr>
              <w:t>响应文件递交地点：加密电子投标文件须在投标截止时间前通过“焦作市公共资源交易中心（http://ggzy.jiaozuo.gov.cn/） ”网站-交易平台加密上传。</w:t>
            </w:r>
          </w:p>
        </w:tc>
      </w:tr>
      <w:tr w14:paraId="533D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736DBF88">
            <w:pPr>
              <w:pStyle w:val="75"/>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6</w:t>
            </w:r>
          </w:p>
        </w:tc>
        <w:tc>
          <w:tcPr>
            <w:tcW w:w="8547" w:type="dxa"/>
            <w:vAlign w:val="center"/>
          </w:tcPr>
          <w:p w14:paraId="15985ED8">
            <w:pPr>
              <w:widowControl/>
              <w:spacing w:line="46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采购事项答疑: 本项目不再统一召开答疑会，供应商如有疑问，请在响应文件递交截止时间1个工作日前与采购人或采购代理机构以书面形式提出。</w:t>
            </w:r>
          </w:p>
        </w:tc>
      </w:tr>
      <w:tr w14:paraId="20D2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732" w:type="dxa"/>
            <w:vAlign w:val="center"/>
          </w:tcPr>
          <w:p w14:paraId="3C3CC1CE">
            <w:pPr>
              <w:pStyle w:val="75"/>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7</w:t>
            </w:r>
          </w:p>
        </w:tc>
        <w:tc>
          <w:tcPr>
            <w:tcW w:w="8547" w:type="dxa"/>
            <w:vAlign w:val="center"/>
          </w:tcPr>
          <w:p w14:paraId="59AD9D74">
            <w:pPr>
              <w:autoSpaceDE w:val="0"/>
              <w:autoSpaceDN w:val="0"/>
              <w:adjustRightInd w:val="0"/>
              <w:spacing w:line="460" w:lineRule="exact"/>
              <w:ind w:firstLine="240" w:firstLineChars="1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开标时间：同</w:t>
            </w:r>
            <w:r>
              <w:rPr>
                <w:rFonts w:hint="eastAsia" w:ascii="宋体" w:hAnsi="宋体" w:cs="宋体"/>
                <w:color w:val="000000" w:themeColor="text1"/>
                <w:sz w:val="24"/>
                <w14:textFill>
                  <w14:solidFill>
                    <w14:schemeClr w14:val="tx1"/>
                  </w14:solidFill>
                </w14:textFill>
              </w:rPr>
              <w:t>响应文件递交截止时间</w:t>
            </w:r>
            <w:r>
              <w:rPr>
                <w:rFonts w:hint="eastAsia" w:ascii="宋体" w:hAnsi="宋体" w:cs="宋体"/>
                <w:bCs/>
                <w:color w:val="000000" w:themeColor="text1"/>
                <w:kern w:val="0"/>
                <w:sz w:val="24"/>
                <w14:textFill>
                  <w14:solidFill>
                    <w14:schemeClr w14:val="tx1"/>
                  </w14:solidFill>
                </w14:textFill>
              </w:rPr>
              <w:t>。供应商应当登录远程开标大厅，凭制作响应性文件所用的企业 CA 密匙在线签到、解密文件等，解密时间为投标截止时后30分钟内。</w:t>
            </w:r>
          </w:p>
          <w:p w14:paraId="2CD70668">
            <w:pPr>
              <w:autoSpaceDE w:val="0"/>
              <w:autoSpaceDN w:val="0"/>
              <w:adjustRightInd w:val="0"/>
              <w:spacing w:line="460" w:lineRule="exact"/>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不见面开标地点：博爱县公共资源交易中心第</w:t>
            </w:r>
            <w:r>
              <w:rPr>
                <w:rFonts w:hint="eastAsia" w:ascii="宋体" w:hAnsi="宋体" w:cs="宋体"/>
                <w:b/>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kern w:val="0"/>
                <w:sz w:val="24"/>
                <w:u w:val="single"/>
                <w:lang w:val="en-US" w:eastAsia="zh-CN"/>
                <w14:textFill>
                  <w14:solidFill>
                    <w14:schemeClr w14:val="tx1"/>
                  </w14:solidFill>
                </w14:textFill>
              </w:rPr>
              <w:t>二</w:t>
            </w:r>
            <w:r>
              <w:rPr>
                <w:rFonts w:hint="eastAsia" w:ascii="宋体" w:hAnsi="宋体" w:cs="宋体"/>
                <w:b/>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kern w:val="0"/>
                <w:sz w:val="24"/>
                <w14:textFill>
                  <w14:solidFill>
                    <w14:schemeClr w14:val="tx1"/>
                  </w14:solidFill>
                </w14:textFill>
              </w:rPr>
              <w:t xml:space="preserve">开标室 </w:t>
            </w:r>
          </w:p>
        </w:tc>
      </w:tr>
      <w:tr w14:paraId="71B9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3" w:hRule="atLeast"/>
        </w:trPr>
        <w:tc>
          <w:tcPr>
            <w:tcW w:w="732" w:type="dxa"/>
            <w:vAlign w:val="center"/>
          </w:tcPr>
          <w:p w14:paraId="12BAFDB2">
            <w:pPr>
              <w:pStyle w:val="75"/>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8</w:t>
            </w:r>
          </w:p>
        </w:tc>
        <w:tc>
          <w:tcPr>
            <w:tcW w:w="8547" w:type="dxa"/>
            <w:vAlign w:val="center"/>
          </w:tcPr>
          <w:p w14:paraId="79EF9DEE">
            <w:pPr>
              <w:widowControl/>
              <w:spacing w:line="460" w:lineRule="exact"/>
              <w:ind w:firstLine="240" w:firstLineChars="10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递交响应性文件方式：</w:t>
            </w:r>
          </w:p>
          <w:p w14:paraId="087A2361">
            <w:pPr>
              <w:widowControl/>
              <w:spacing w:line="460" w:lineRule="exact"/>
              <w:ind w:firstLine="240" w:firstLineChars="10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本项目采用“远程不见面”开标方式，远程开标大厅网址为</w:t>
            </w:r>
            <w:r>
              <w:rPr>
                <w:rFonts w:hint="eastAsia" w:ascii="宋体" w:hAnsi="宋体" w:eastAsia="宋体" w:cs="宋体"/>
                <w:bCs/>
                <w:color w:val="000000" w:themeColor="text1"/>
                <w:kern w:val="0"/>
                <w:sz w:val="24"/>
                <w14:textFill>
                  <w14:solidFill>
                    <w14:schemeClr w14:val="tx1"/>
                  </w14:solidFill>
                </w14:textFill>
              </w:rPr>
              <w:t>hhttp://ggzy.jiaozuo.gov.cn/BidOpeningHall/bidhall/default/login。</w:t>
            </w:r>
            <w:r>
              <w:rPr>
                <w:rFonts w:hint="eastAsia" w:ascii="宋体" w:hAnsi="宋体" w:cs="宋体"/>
                <w:bCs/>
                <w:color w:val="000000" w:themeColor="text1"/>
                <w:kern w:val="0"/>
                <w:sz w:val="24"/>
                <w14:textFill>
                  <w14:solidFill>
                    <w14:schemeClr w14:val="tx1"/>
                  </w14:solidFill>
                </w14:textFill>
              </w:rPr>
              <w:t xml:space="preserve">供应商不需到开标现场参加开标会议，不需提交原件资料等。 </w:t>
            </w:r>
          </w:p>
          <w:p w14:paraId="667682F7">
            <w:pPr>
              <w:widowControl/>
              <w:spacing w:line="460" w:lineRule="exact"/>
              <w:ind w:firstLine="240" w:firstLineChars="10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1.电子响应性文件的递交</w:t>
            </w:r>
          </w:p>
          <w:p w14:paraId="4550E2FB">
            <w:pPr>
              <w:widowControl/>
              <w:spacing w:line="460" w:lineRule="exact"/>
              <w:ind w:firstLine="240" w:firstLineChars="10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1.1 各供应商应在投标截止时间前上传加密的电子响应性文件</w:t>
            </w:r>
          </w:p>
          <w:p w14:paraId="2AAD024B">
            <w:pPr>
              <w:widowControl/>
              <w:spacing w:line="460" w:lineRule="exact"/>
              <w:ind w:firstLine="240" w:firstLineChars="10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（.jztf 格式）到会员系统的指定位置。上传时必须得到电脑“上传成功”的确认回复。请供应商在上传时认真检查上传响应性文件是否完整、正确。</w:t>
            </w:r>
          </w:p>
          <w:p w14:paraId="1F45E187">
            <w:pPr>
              <w:widowControl/>
              <w:spacing w:line="460" w:lineRule="exact"/>
              <w:ind w:firstLine="240" w:firstLineChars="100"/>
              <w:jc w:val="left"/>
              <w:rPr>
                <w:rFonts w:ascii="宋体" w:hAnsi="宋体" w:cs="宋体"/>
                <w:color w:val="000000" w:themeColor="text1"/>
                <w:kern w:val="0"/>
                <w:sz w:val="24"/>
                <w:szCs w:val="21"/>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1.2 如系统故障需上传非加密文件时，供应商应按照采购人指示将非加密文件递交给采购人。</w:t>
            </w:r>
          </w:p>
        </w:tc>
      </w:tr>
      <w:tr w14:paraId="792A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trPr>
        <w:tc>
          <w:tcPr>
            <w:tcW w:w="732" w:type="dxa"/>
            <w:vAlign w:val="center"/>
          </w:tcPr>
          <w:p w14:paraId="1879AA49">
            <w:pPr>
              <w:pStyle w:val="75"/>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9</w:t>
            </w:r>
          </w:p>
        </w:tc>
        <w:tc>
          <w:tcPr>
            <w:tcW w:w="8547" w:type="dxa"/>
            <w:vAlign w:val="center"/>
          </w:tcPr>
          <w:p w14:paraId="5EA1DB4D">
            <w:pPr>
              <w:widowControl/>
              <w:spacing w:line="460" w:lineRule="exact"/>
              <w:ind w:firstLine="241" w:firstLineChars="10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采购预算控制金额（大写）：</w:t>
            </w:r>
            <w:r>
              <w:rPr>
                <w:rFonts w:hint="eastAsia" w:ascii="宋体" w:hAnsi="宋体" w:cs="宋体"/>
                <w:b/>
                <w:color w:val="000000" w:themeColor="text1"/>
                <w:kern w:val="0"/>
                <w:sz w:val="24"/>
                <w:lang w:val="en-US" w:eastAsia="zh-CN"/>
                <w14:textFill>
                  <w14:solidFill>
                    <w14:schemeClr w14:val="tx1"/>
                  </w14:solidFill>
                </w14:textFill>
              </w:rPr>
              <w:t>壹佰万元整</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kern w:val="0"/>
                <w:sz w:val="24"/>
                <w14:textFill>
                  <w14:solidFill>
                    <w14:schemeClr w14:val="tx1"/>
                  </w14:solidFill>
                </w14:textFill>
              </w:rPr>
              <w:t>￥</w:t>
            </w:r>
            <w:r>
              <w:rPr>
                <w:rFonts w:hint="eastAsia" w:ascii="宋体" w:hAnsi="宋体" w:cs="宋体"/>
                <w:b/>
                <w:color w:val="000000" w:themeColor="text1"/>
                <w:kern w:val="0"/>
                <w:sz w:val="24"/>
                <w:lang w:val="en-US" w:eastAsia="zh-CN"/>
                <w14:textFill>
                  <w14:solidFill>
                    <w14:schemeClr w14:val="tx1"/>
                  </w14:solidFill>
                </w14:textFill>
              </w:rPr>
              <w:t>1000000.00</w:t>
            </w:r>
            <w:r>
              <w:rPr>
                <w:rFonts w:hint="eastAsia" w:ascii="宋体" w:hAnsi="宋体" w:cs="宋体"/>
                <w:b/>
                <w:color w:val="000000" w:themeColor="text1"/>
                <w:kern w:val="0"/>
                <w:sz w:val="24"/>
                <w14:textFill>
                  <w14:solidFill>
                    <w14:schemeClr w14:val="tx1"/>
                  </w14:solidFill>
                </w14:textFill>
              </w:rPr>
              <w:t>元）</w:t>
            </w:r>
          </w:p>
          <w:p w14:paraId="59C9F8E4">
            <w:pPr>
              <w:widowControl/>
              <w:spacing w:line="460" w:lineRule="exact"/>
              <w:ind w:firstLine="240" w:firstLineChars="100"/>
              <w:rPr>
                <w:rFonts w:ascii="宋体" w:hAnsi="宋体" w:cs="宋体"/>
                <w:color w:val="000000" w:themeColor="text1"/>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供应商的投标报价高于采购预算控制金额的视为无效报价，其投标予以拒绝；当成交人的投标价高于控制价的95%时，该成交人的成交价按控制价的95%执行。</w:t>
            </w:r>
          </w:p>
        </w:tc>
      </w:tr>
      <w:tr w14:paraId="39DE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32" w:type="dxa"/>
            <w:vAlign w:val="center"/>
          </w:tcPr>
          <w:p w14:paraId="6BFCFD23">
            <w:pPr>
              <w:pStyle w:val="75"/>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10</w:t>
            </w:r>
          </w:p>
        </w:tc>
        <w:tc>
          <w:tcPr>
            <w:tcW w:w="8547" w:type="dxa"/>
            <w:vAlign w:val="center"/>
          </w:tcPr>
          <w:p w14:paraId="75E7C1D3">
            <w:pPr>
              <w:pStyle w:val="75"/>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sz w:val="24"/>
                <w:szCs w:val="24"/>
                <w14:textFill>
                  <w14:solidFill>
                    <w14:schemeClr w14:val="tx1"/>
                  </w14:solidFill>
                </w14:textFill>
              </w:rPr>
            </w:pPr>
            <w:r>
              <w:rPr>
                <w:rFonts w:hint="eastAsia" w:ascii="宋体" w:eastAsia="宋体" w:cs="宋体"/>
                <w:b w:val="0"/>
                <w:color w:val="000000" w:themeColor="text1"/>
                <w:sz w:val="24"/>
                <w:szCs w:val="24"/>
                <w14:textFill>
                  <w14:solidFill>
                    <w14:schemeClr w14:val="tx1"/>
                  </w14:solidFill>
                </w14:textFill>
              </w:rPr>
              <w:t>投标有效期：60日历天</w:t>
            </w:r>
          </w:p>
        </w:tc>
      </w:tr>
      <w:tr w14:paraId="0267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732" w:type="dxa"/>
            <w:vAlign w:val="center"/>
          </w:tcPr>
          <w:p w14:paraId="4111B3A5">
            <w:pPr>
              <w:pStyle w:val="75"/>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11</w:t>
            </w:r>
          </w:p>
        </w:tc>
        <w:tc>
          <w:tcPr>
            <w:tcW w:w="8547" w:type="dxa"/>
            <w:vAlign w:val="center"/>
          </w:tcPr>
          <w:p w14:paraId="39D406AF">
            <w:pPr>
              <w:widowControl/>
              <w:spacing w:line="460" w:lineRule="exact"/>
              <w:ind w:firstLine="240" w:firstLineChars="1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1.采购人：博爱县民政局</w:t>
            </w:r>
          </w:p>
          <w:p w14:paraId="13C67568">
            <w:pPr>
              <w:widowControl/>
              <w:spacing w:line="460" w:lineRule="exact"/>
              <w:ind w:firstLine="240" w:firstLineChars="1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址：博爱县发展大道 188 号机关综合办公楼西配楼 7 楼</w:t>
            </w:r>
          </w:p>
          <w:p w14:paraId="0E88050C">
            <w:pPr>
              <w:widowControl/>
              <w:spacing w:line="460" w:lineRule="exact"/>
              <w:ind w:firstLine="240" w:firstLineChars="1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联系人：刘先生</w:t>
            </w:r>
          </w:p>
          <w:p w14:paraId="705E15E5">
            <w:pPr>
              <w:widowControl/>
              <w:spacing w:line="460" w:lineRule="exact"/>
              <w:ind w:firstLine="240" w:firstLineChars="1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话：13598522662</w:t>
            </w:r>
          </w:p>
          <w:p w14:paraId="4A21D381">
            <w:pPr>
              <w:widowControl/>
              <w:spacing w:line="460" w:lineRule="exact"/>
              <w:ind w:firstLine="240" w:firstLineChars="1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2.名  称：山西众恒工程招标代理有限公司</w:t>
            </w:r>
          </w:p>
          <w:p w14:paraId="737C1E17">
            <w:pPr>
              <w:widowControl/>
              <w:spacing w:line="460" w:lineRule="exact"/>
              <w:ind w:firstLine="240" w:firstLineChars="1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地址：太原市迎泽区并州北路35号1幢1单元6层601号</w:t>
            </w:r>
          </w:p>
          <w:p w14:paraId="45F0C9E9">
            <w:pPr>
              <w:widowControl/>
              <w:spacing w:line="460" w:lineRule="exact"/>
              <w:ind w:firstLine="240" w:firstLineChars="1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联系人：高女士</w:t>
            </w:r>
          </w:p>
          <w:p w14:paraId="4A673A01">
            <w:pPr>
              <w:widowControl/>
              <w:spacing w:line="460"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电话：13938137083</w:t>
            </w:r>
          </w:p>
        </w:tc>
      </w:tr>
      <w:tr w14:paraId="1C6C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trPr>
        <w:tc>
          <w:tcPr>
            <w:tcW w:w="732" w:type="dxa"/>
            <w:vAlign w:val="center"/>
          </w:tcPr>
          <w:p w14:paraId="6CC07C74">
            <w:pPr>
              <w:pStyle w:val="75"/>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12</w:t>
            </w:r>
          </w:p>
        </w:tc>
        <w:tc>
          <w:tcPr>
            <w:tcW w:w="8547" w:type="dxa"/>
            <w:vAlign w:val="center"/>
          </w:tcPr>
          <w:p w14:paraId="3A63E774">
            <w:pPr>
              <w:pStyle w:val="75"/>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kern w:val="2"/>
                <w:sz w:val="24"/>
                <w:szCs w:val="24"/>
                <w14:textFill>
                  <w14:solidFill>
                    <w14:schemeClr w14:val="tx1"/>
                  </w14:solidFill>
                </w14:textFill>
              </w:rPr>
            </w:pPr>
            <w:r>
              <w:rPr>
                <w:rFonts w:hint="eastAsia" w:ascii="宋体" w:eastAsia="宋体" w:cs="宋体"/>
                <w:b w:val="0"/>
                <w:color w:val="000000" w:themeColor="text1"/>
                <w:kern w:val="2"/>
                <w:sz w:val="24"/>
                <w:szCs w:val="24"/>
                <w14:textFill>
                  <w14:solidFill>
                    <w14:schemeClr w14:val="tx1"/>
                  </w14:solidFill>
                </w14:textFill>
              </w:rPr>
              <w:t>代理服务费：参照豫招协[2023]002号《河南省招标代理服务收费指导意见》中的标准向成交人收取代理服务费,由成交人在领取成交通知书前，向代理机构足额缴纳。</w:t>
            </w:r>
          </w:p>
        </w:tc>
      </w:tr>
      <w:tr w14:paraId="3CC6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32" w:type="dxa"/>
            <w:vAlign w:val="center"/>
          </w:tcPr>
          <w:p w14:paraId="0EC0C9AE">
            <w:pPr>
              <w:pStyle w:val="75"/>
              <w:widowControl w:val="0"/>
              <w:pBdr>
                <w:bottom w:val="none" w:color="auto" w:sz="0" w:space="0"/>
              </w:pBdr>
              <w:spacing w:beforeAutospacing="0" w:afterAutospacing="0" w:line="360" w:lineRule="auto"/>
              <w:textAlignment w:val="auto"/>
              <w:rPr>
                <w:rFonts w:hint="default" w:ascii="宋体" w:eastAsia="宋体" w:cs="宋体"/>
                <w:b w:val="0"/>
                <w:color w:val="000000" w:themeColor="text1"/>
                <w:sz w:val="21"/>
                <w:szCs w:val="21"/>
                <w:lang w:val="en-US" w:eastAsia="zh-CN"/>
                <w14:textFill>
                  <w14:solidFill>
                    <w14:schemeClr w14:val="tx1"/>
                  </w14:solidFill>
                </w14:textFill>
              </w:rPr>
            </w:pPr>
            <w:bookmarkStart w:id="6" w:name="_Toc533668868"/>
            <w:bookmarkStart w:id="7" w:name="_Toc20290"/>
            <w:r>
              <w:rPr>
                <w:rFonts w:hint="eastAsia" w:ascii="宋体" w:eastAsia="宋体" w:cs="宋体"/>
                <w:b w:val="0"/>
                <w:color w:val="000000" w:themeColor="text1"/>
                <w:sz w:val="21"/>
                <w:szCs w:val="21"/>
                <w:lang w:val="en-US" w:eastAsia="zh-CN"/>
                <w14:textFill>
                  <w14:solidFill>
                    <w14:schemeClr w14:val="tx1"/>
                  </w14:solidFill>
                </w14:textFill>
              </w:rPr>
              <w:t>13</w:t>
            </w:r>
          </w:p>
        </w:tc>
        <w:tc>
          <w:tcPr>
            <w:tcW w:w="8547" w:type="dxa"/>
            <w:vAlign w:val="center"/>
          </w:tcPr>
          <w:p w14:paraId="6258300B">
            <w:pPr>
              <w:pStyle w:val="75"/>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
                <w:bCs/>
                <w:color w:val="000000" w:themeColor="text1"/>
                <w:kern w:val="2"/>
                <w:sz w:val="24"/>
                <w:szCs w:val="24"/>
                <w14:textFill>
                  <w14:solidFill>
                    <w14:schemeClr w14:val="tx1"/>
                  </w14:solidFill>
                </w14:textFill>
              </w:rPr>
            </w:pPr>
            <w:r>
              <w:rPr>
                <w:rFonts w:hint="eastAsia" w:ascii="宋体" w:eastAsia="宋体" w:cs="宋体"/>
                <w:b/>
                <w:bCs/>
                <w:color w:val="000000" w:themeColor="text1"/>
                <w:kern w:val="2"/>
                <w:sz w:val="24"/>
                <w:szCs w:val="24"/>
                <w14:textFill>
                  <w14:solidFill>
                    <w14:schemeClr w14:val="tx1"/>
                  </w14:solidFill>
                </w14:textFill>
              </w:rPr>
              <w:t>1、本项目采购货物在质保期内属于货物质量问题的，成交供应商应免费维修，不能维修的应及时更换新货物，供应商须针对质保期内的质量问题提供承诺函。</w:t>
            </w:r>
          </w:p>
          <w:p w14:paraId="77CC3035">
            <w:pPr>
              <w:pStyle w:val="75"/>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 w:val="0"/>
                <w:color w:val="000000" w:themeColor="text1"/>
                <w:kern w:val="2"/>
                <w:sz w:val="24"/>
                <w:szCs w:val="24"/>
                <w14:textFill>
                  <w14:solidFill>
                    <w14:schemeClr w14:val="tx1"/>
                  </w14:solidFill>
                </w14:textFill>
              </w:rPr>
            </w:pPr>
            <w:r>
              <w:rPr>
                <w:rFonts w:hint="eastAsia" w:ascii="宋体" w:eastAsia="宋体" w:cs="宋体"/>
                <w:b/>
                <w:bCs/>
                <w:color w:val="000000" w:themeColor="text1"/>
                <w:kern w:val="2"/>
                <w:sz w:val="24"/>
                <w:szCs w:val="24"/>
                <w14:textFill>
                  <w14:solidFill>
                    <w14:schemeClr w14:val="tx1"/>
                  </w14:solidFill>
                </w14:textFill>
              </w:rPr>
              <w:t>2、</w:t>
            </w:r>
            <w:r>
              <w:rPr>
                <w:rFonts w:hint="eastAsia" w:ascii="宋体" w:eastAsia="宋体" w:cs="宋体"/>
                <w:b/>
                <w:bCs/>
                <w:color w:val="000000" w:themeColor="text1"/>
                <w:kern w:val="2"/>
                <w:sz w:val="24"/>
                <w:szCs w:val="24"/>
                <w:highlight w:val="none"/>
                <w14:textFill>
                  <w14:solidFill>
                    <w14:schemeClr w14:val="tx1"/>
                  </w14:solidFill>
                </w14:textFill>
              </w:rPr>
              <w:t>供应商对其提供的产品出具《关于符合本国产品标准的声明函》或财政部会同有关部门规定的有关证明文件，采购人、采购代理机构应当随中标、成交结果同时公告中标、成交供应商提供的《声明函》。</w:t>
            </w:r>
          </w:p>
        </w:tc>
      </w:tr>
      <w:tr w14:paraId="4D1E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3" w:hRule="atLeast"/>
        </w:trPr>
        <w:tc>
          <w:tcPr>
            <w:tcW w:w="732" w:type="dxa"/>
            <w:vAlign w:val="center"/>
          </w:tcPr>
          <w:p w14:paraId="70092E16">
            <w:pPr>
              <w:pStyle w:val="75"/>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kern w:val="2"/>
                <w:sz w:val="24"/>
                <w:szCs w:val="24"/>
                <w:lang w:eastAsia="zh-CN"/>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w:t>
            </w:r>
            <w:r>
              <w:rPr>
                <w:rFonts w:hint="eastAsia" w:ascii="宋体" w:eastAsia="宋体" w:cs="宋体"/>
                <w:b w:val="0"/>
                <w:color w:val="000000" w:themeColor="text1"/>
                <w:sz w:val="21"/>
                <w:szCs w:val="21"/>
                <w:lang w:val="en-US" w:eastAsia="zh-CN"/>
                <w14:textFill>
                  <w14:solidFill>
                    <w14:schemeClr w14:val="tx1"/>
                  </w14:solidFill>
                </w14:textFill>
              </w:rPr>
              <w:t>4</w:t>
            </w:r>
          </w:p>
        </w:tc>
        <w:tc>
          <w:tcPr>
            <w:tcW w:w="8547" w:type="dxa"/>
            <w:vAlign w:val="center"/>
          </w:tcPr>
          <w:p w14:paraId="5B90D9E7">
            <w:pPr>
              <w:pStyle w:val="75"/>
              <w:widowControl w:val="0"/>
              <w:pBdr>
                <w:bottom w:val="none" w:color="auto" w:sz="0" w:space="0"/>
              </w:pBdr>
              <w:spacing w:beforeAutospacing="0" w:afterAutospacing="0" w:line="420" w:lineRule="exact"/>
              <w:jc w:val="both"/>
              <w:rPr>
                <w:rFonts w:ascii="宋体" w:eastAsia="宋体" w:cs="宋体"/>
                <w:b w:val="0"/>
                <w:kern w:val="2"/>
                <w:sz w:val="24"/>
                <w:szCs w:val="24"/>
              </w:rPr>
            </w:pPr>
            <w:r>
              <w:rPr>
                <w:rFonts w:hint="eastAsia" w:ascii="宋体" w:eastAsia="宋体" w:cs="宋体"/>
                <w:b w:val="0"/>
                <w:kern w:val="2"/>
                <w:sz w:val="24"/>
                <w:szCs w:val="24"/>
              </w:rPr>
              <w:t>本项目落实政府采购政策：</w:t>
            </w:r>
          </w:p>
          <w:p w14:paraId="6F36306B">
            <w:pPr>
              <w:numPr>
                <w:ilvl w:val="0"/>
                <w:numId w:val="2"/>
              </w:numPr>
              <w:spacing w:line="420" w:lineRule="exact"/>
              <w:rPr>
                <w:rFonts w:ascii="宋体" w:hAnsi="宋体" w:cs="宋体"/>
                <w:sz w:val="24"/>
              </w:rPr>
            </w:pPr>
            <w:r>
              <w:rPr>
                <w:rFonts w:hint="eastAsia" w:ascii="宋体" w:hAnsi="宋体" w:cs="宋体"/>
                <w:sz w:val="24"/>
              </w:rPr>
              <w:t>小微企业应当提供《中小企业声明函》（见格式）</w:t>
            </w:r>
          </w:p>
          <w:p w14:paraId="2F851832">
            <w:pPr>
              <w:spacing w:line="420" w:lineRule="exact"/>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按照《政府采购促进中小企业发展管理办法》有关规定，中小企业的标准为：</w:t>
            </w:r>
          </w:p>
          <w:p w14:paraId="24DDB698">
            <w:pPr>
              <w:spacing w:line="420" w:lineRule="exact"/>
              <w:rPr>
                <w:rFonts w:hint="eastAsia" w:ascii="宋体" w:hAnsi="宋体" w:cs="宋体"/>
                <w:sz w:val="24"/>
              </w:rPr>
            </w:pPr>
            <w:r>
              <w:rPr>
                <w:rFonts w:hint="eastAsia" w:ascii="宋体" w:hAnsi="宋体" w:cs="宋体"/>
                <w:sz w:val="24"/>
                <w:lang w:val="en-US" w:eastAsia="zh-CN"/>
              </w:rPr>
              <w:t>1.1.1</w:t>
            </w:r>
            <w:r>
              <w:rPr>
                <w:rFonts w:hint="eastAsia" w:ascii="宋体" w:hAnsi="宋体" w:cs="宋体"/>
                <w:sz w:val="24"/>
              </w:rPr>
              <w:t>提供本企业制造的货物、承担的工程或者服务，或者提供其他中小企业制造的货物，不包括提供或使用大型企业注册商标的货物；</w:t>
            </w:r>
          </w:p>
          <w:p w14:paraId="1D15547E">
            <w:pPr>
              <w:spacing w:line="420" w:lineRule="exact"/>
              <w:rPr>
                <w:rFonts w:hint="eastAsia" w:ascii="宋体" w:hAnsi="宋体" w:cs="宋体"/>
                <w:sz w:val="24"/>
              </w:rPr>
            </w:pPr>
            <w:r>
              <w:rPr>
                <w:rFonts w:hint="eastAsia" w:ascii="宋体" w:hAnsi="宋体" w:cs="宋体"/>
                <w:sz w:val="24"/>
                <w:lang w:val="en-US" w:eastAsia="zh-CN"/>
              </w:rPr>
              <w:t>1.1.2</w:t>
            </w:r>
            <w:r>
              <w:rPr>
                <w:rFonts w:hint="eastAsia" w:ascii="宋体" w:hAnsi="宋体" w:cs="宋体"/>
                <w:sz w:val="24"/>
              </w:rPr>
              <w:t>本规定所称中小企业划分标准，是指国务院有关部门根据企业从业人员、营业收入、资产总额等指标制定的中小企业划型标准（工信部联企业﹝2011﹞300号）；</w:t>
            </w:r>
          </w:p>
          <w:p w14:paraId="378CDC8B">
            <w:pPr>
              <w:spacing w:line="420" w:lineRule="exact"/>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3小型、微型企业提供有中型企业制造的货物的，视同为中型企业；小型、微型、中型企业提供有大型企业制造的货物的，视同为大型企业。</w:t>
            </w:r>
          </w:p>
          <w:p w14:paraId="06C011A7">
            <w:pPr>
              <w:spacing w:line="420" w:lineRule="exac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788C6A60">
            <w:pPr>
              <w:pStyle w:val="75"/>
              <w:widowControl w:val="0"/>
              <w:pBdr>
                <w:bottom w:val="none" w:color="auto" w:sz="0" w:space="0"/>
              </w:pBdr>
              <w:spacing w:beforeAutospacing="0" w:afterAutospacing="0" w:line="460" w:lineRule="exact"/>
              <w:ind w:firstLine="241" w:firstLineChars="100"/>
              <w:jc w:val="both"/>
              <w:textAlignment w:val="auto"/>
              <w:rPr>
                <w:rFonts w:ascii="宋体" w:eastAsia="宋体" w:cs="宋体"/>
                <w:bCs/>
                <w:spacing w:val="-3"/>
                <w:sz w:val="24"/>
                <w:szCs w:val="24"/>
              </w:rPr>
            </w:pPr>
            <w:r>
              <w:rPr>
                <w:rFonts w:hint="eastAsia" w:ascii="宋体" w:eastAsia="宋体" w:cs="宋体"/>
                <w:sz w:val="24"/>
                <w:szCs w:val="24"/>
              </w:rPr>
              <w:t>备注：</w:t>
            </w:r>
            <w:r>
              <w:rPr>
                <w:rFonts w:ascii="宋体" w:eastAsia="宋体" w:cs="宋体"/>
                <w:bCs/>
                <w:spacing w:val="-2"/>
                <w:sz w:val="24"/>
                <w:szCs w:val="24"/>
              </w:rPr>
              <w:t>本项目全额面向中小企业采购，供应商需提供中小企业声明</w:t>
            </w:r>
            <w:r>
              <w:rPr>
                <w:rFonts w:ascii="宋体" w:eastAsia="宋体" w:cs="宋体"/>
                <w:bCs/>
                <w:spacing w:val="-3"/>
                <w:sz w:val="24"/>
                <w:szCs w:val="24"/>
              </w:rPr>
              <w:t>函</w:t>
            </w:r>
          </w:p>
          <w:p w14:paraId="6548AC7B">
            <w:pPr>
              <w:pStyle w:val="75"/>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 xml:space="preserve">3、供应商对其提供的产品出具《关于符合本国产品标准的声明函》或财政部会同有关部门规定的有关证明文件，采购人、采购代理机构应当随中标、成交结果同时公告中标、成交供应商提供的《声明函》。 </w:t>
            </w:r>
          </w:p>
          <w:p w14:paraId="67A55517">
            <w:pPr>
              <w:pStyle w:val="75"/>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78CF517">
            <w:pPr>
              <w:pStyle w:val="75"/>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kern w:val="2"/>
                <w:sz w:val="24"/>
                <w:szCs w:val="24"/>
                <w:lang w:val="en-US" w:eastAsia="zh-CN" w:bidi="ar-SA"/>
              </w:rPr>
            </w:pPr>
            <w:r>
              <w:rPr>
                <w:rFonts w:hint="eastAsia" w:ascii="宋体" w:eastAsia="宋体" w:cs="宋体"/>
                <w:b w:val="0"/>
                <w:kern w:val="2"/>
                <w:sz w:val="24"/>
                <w:szCs w:val="24"/>
                <w:lang w:val="en-US" w:eastAsia="zh-CN" w:bidi="ar-SA"/>
              </w:rPr>
              <w:t>3</w:t>
            </w:r>
            <w:r>
              <w:rPr>
                <w:rFonts w:hint="eastAsia" w:ascii="宋体" w:hAnsi="宋体" w:eastAsia="宋体" w:cs="宋体"/>
                <w:b w:val="0"/>
                <w:kern w:val="2"/>
                <w:sz w:val="24"/>
                <w:szCs w:val="24"/>
                <w:lang w:val="en-US" w:eastAsia="zh-CN" w:bidi="ar-SA"/>
              </w:rPr>
              <w:t>.2既有本国产品又有非本国产品参与竞争的，依法对本国产品给予价格评审优惠，对本国产品的报价给予20%的价格扣除，用扣除后的价格参与评审。</w:t>
            </w:r>
          </w:p>
          <w:p w14:paraId="2FE01597">
            <w:pPr>
              <w:pStyle w:val="75"/>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4DB6335C">
            <w:pPr>
              <w:pStyle w:val="75"/>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kern w:val="2"/>
                <w:sz w:val="24"/>
                <w:szCs w:val="24"/>
                <w14:textFill>
                  <w14:solidFill>
                    <w14:schemeClr w14:val="tx1"/>
                  </w14:solidFill>
                </w14:textFill>
              </w:rPr>
            </w:pPr>
            <w:r>
              <w:rPr>
                <w:rFonts w:hint="eastAsia" w:ascii="宋体" w:eastAsia="宋体" w:cs="宋体"/>
                <w:b w:val="0"/>
                <w:kern w:val="2"/>
                <w:sz w:val="24"/>
                <w:szCs w:val="24"/>
                <w:lang w:val="en-US" w:eastAsia="zh-CN" w:bidi="ar-SA"/>
              </w:rPr>
              <w:t>4</w:t>
            </w:r>
            <w:r>
              <w:rPr>
                <w:rFonts w:hint="eastAsia" w:ascii="宋体" w:hAnsi="宋体" w:eastAsia="宋体" w:cs="宋体"/>
                <w:b w:val="0"/>
                <w:kern w:val="2"/>
                <w:sz w:val="24"/>
                <w:szCs w:val="24"/>
                <w:lang w:val="en-US" w:eastAsia="zh-CN" w:bidi="ar-SA"/>
              </w:rPr>
              <w:t>、为落实政府采购政策，本次招标强制采购的节能产品（如有）,如果需求中有节能产品则应该列明强制节能产品，并提供强制节能认证证书。</w:t>
            </w:r>
          </w:p>
        </w:tc>
      </w:tr>
      <w:tr w14:paraId="0C47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32" w:type="dxa"/>
            <w:vAlign w:val="center"/>
          </w:tcPr>
          <w:p w14:paraId="09D1CF9E">
            <w:pPr>
              <w:pStyle w:val="75"/>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p>
        </w:tc>
        <w:tc>
          <w:tcPr>
            <w:tcW w:w="8547" w:type="dxa"/>
            <w:vAlign w:val="center"/>
          </w:tcPr>
          <w:p w14:paraId="60013AD5">
            <w:pPr>
              <w:pStyle w:val="75"/>
              <w:widowControl w:val="0"/>
              <w:pBdr>
                <w:bottom w:val="none" w:color="auto" w:sz="0" w:space="0"/>
              </w:pBdr>
              <w:spacing w:beforeAutospacing="0" w:afterAutospacing="0" w:line="460" w:lineRule="exact"/>
              <w:ind w:firstLine="241" w:firstLineChars="100"/>
              <w:jc w:val="both"/>
              <w:textAlignment w:val="auto"/>
              <w:rPr>
                <w:rFonts w:ascii="宋体" w:eastAsia="宋体" w:cs="宋体"/>
                <w:bCs/>
                <w:color w:val="000000" w:themeColor="text1"/>
                <w:kern w:val="2"/>
                <w:sz w:val="24"/>
                <w:szCs w:val="24"/>
                <w14:textFill>
                  <w14:solidFill>
                    <w14:schemeClr w14:val="tx1"/>
                  </w14:solidFill>
                </w14:textFill>
              </w:rPr>
            </w:pPr>
            <w:r>
              <w:rPr>
                <w:rFonts w:hint="eastAsia" w:ascii="宋体" w:hAnsi="宋体" w:eastAsia="宋体" w:cs="宋体"/>
                <w:b/>
                <w:bCs/>
                <w:color w:val="auto"/>
                <w:kern w:val="2"/>
                <w:sz w:val="24"/>
                <w:szCs w:val="24"/>
                <w:highlight w:val="none"/>
                <w:lang w:val="en-US" w:eastAsia="zh-CN" w:bidi="ar-SA"/>
              </w:rPr>
              <w:t>投标人实施过程中产品属于现行的《节能产品政府采购品目清单》强制采购范围内的，应当在供货时提供依据国家确定的认证机构出具的、处于有效期之内的节能产品认证证书。</w:t>
            </w:r>
          </w:p>
        </w:tc>
      </w:tr>
      <w:tr w14:paraId="64BA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32" w:type="dxa"/>
            <w:shd w:val="clear" w:color="auto" w:fill="auto"/>
            <w:vAlign w:val="center"/>
          </w:tcPr>
          <w:p w14:paraId="7C6EB373">
            <w:pPr>
              <w:pStyle w:val="75"/>
              <w:widowControl w:val="0"/>
              <w:pBdr>
                <w:bottom w:val="none" w:color="auto" w:sz="0" w:space="0"/>
              </w:pBdr>
              <w:spacing w:beforeAutospacing="0" w:afterAutospacing="0" w:line="360" w:lineRule="auto"/>
              <w:textAlignment w:val="auto"/>
              <w:rPr>
                <w:rFonts w:hint="eastAsia" w:ascii="宋体" w:hAnsi="宋体" w:eastAsia="宋体" w:cs="宋体"/>
                <w:b w:val="0"/>
                <w:color w:val="000000" w:themeColor="text1"/>
                <w:kern w:val="0"/>
                <w:sz w:val="21"/>
                <w:szCs w:val="21"/>
                <w:lang w:val="en-US" w:eastAsia="zh-CN" w:bidi="ar-SA"/>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15</w:t>
            </w:r>
          </w:p>
        </w:tc>
        <w:tc>
          <w:tcPr>
            <w:tcW w:w="8547" w:type="dxa"/>
            <w:shd w:val="clear" w:color="auto" w:fill="auto"/>
            <w:vAlign w:val="center"/>
          </w:tcPr>
          <w:p w14:paraId="67865258">
            <w:pPr>
              <w:pStyle w:val="75"/>
              <w:widowControl w:val="0"/>
              <w:pBdr>
                <w:bottom w:val="none" w:color="auto" w:sz="0" w:space="0"/>
              </w:pBdr>
              <w:spacing w:beforeAutospacing="0" w:afterAutospacing="0" w:line="460" w:lineRule="exact"/>
              <w:ind w:firstLine="241" w:firstLineChars="100"/>
              <w:jc w:val="both"/>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eastAsia="宋体" w:cs="宋体"/>
                <w:bCs/>
                <w:color w:val="000000" w:themeColor="text1"/>
                <w:kern w:val="2"/>
                <w:sz w:val="24"/>
                <w:szCs w:val="24"/>
                <w14:textFill>
                  <w14:solidFill>
                    <w14:schemeClr w14:val="tx1"/>
                  </w14:solidFill>
                </w14:textFill>
              </w:rPr>
              <w:t>本竞争性谈判文件解释权归采购人。</w:t>
            </w:r>
          </w:p>
        </w:tc>
      </w:tr>
      <w:tr w14:paraId="2C4F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32" w:type="dxa"/>
            <w:vAlign w:val="center"/>
          </w:tcPr>
          <w:p w14:paraId="465B81A7">
            <w:pPr>
              <w:pStyle w:val="75"/>
              <w:widowControl w:val="0"/>
              <w:pBdr>
                <w:bottom w:val="none" w:color="auto" w:sz="0" w:space="0"/>
              </w:pBdr>
              <w:spacing w:beforeAutospacing="0" w:afterAutospacing="0" w:line="400" w:lineRule="exact"/>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特别提醒</w:t>
            </w:r>
          </w:p>
        </w:tc>
        <w:tc>
          <w:tcPr>
            <w:tcW w:w="8547" w:type="dxa"/>
            <w:vAlign w:val="center"/>
          </w:tcPr>
          <w:p w14:paraId="6A28C1E6">
            <w:pPr>
              <w:spacing w:line="480" w:lineRule="exact"/>
              <w:ind w:firstLine="241" w:firstLineChars="100"/>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1、因电子化评标需要，谈判小组要求供应商进行二轮报价以及作出澄清、说明或补正均采用网上方式进行。</w:t>
            </w:r>
          </w:p>
          <w:p w14:paraId="1AA8ED0C">
            <w:pPr>
              <w:spacing w:line="480" w:lineRule="exact"/>
              <w:ind w:firstLine="241" w:firstLineChars="100"/>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32D9DFAB">
      <w:pPr>
        <w:pStyle w:val="3"/>
        <w:spacing w:before="0" w:after="0" w:line="360" w:lineRule="auto"/>
        <w:ind w:firstLine="723" w:firstLineChars="200"/>
        <w:jc w:val="center"/>
        <w:rPr>
          <w:rFonts w:ascii="宋体" w:hAnsi="宋体"/>
          <w:color w:val="000000" w:themeColor="text1"/>
          <w:kern w:val="0"/>
          <w:sz w:val="48"/>
          <w:szCs w:val="48"/>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br w:type="page"/>
      </w:r>
      <w:bookmarkStart w:id="8" w:name="_Toc7945"/>
    </w:p>
    <w:p w14:paraId="1D3AB757">
      <w:pPr>
        <w:pStyle w:val="3"/>
        <w:spacing w:before="0" w:after="0" w:line="360" w:lineRule="auto"/>
        <w:jc w:val="center"/>
        <w:rPr>
          <w:color w:val="000000" w:themeColor="text1"/>
          <w:kern w:val="0"/>
          <w:sz w:val="28"/>
          <w:szCs w:val="28"/>
          <w14:textFill>
            <w14:solidFill>
              <w14:schemeClr w14:val="tx1"/>
            </w14:solidFill>
          </w14:textFill>
        </w:rPr>
      </w:pPr>
      <w:bookmarkStart w:id="9" w:name="_Toc16130"/>
      <w:r>
        <w:rPr>
          <w:rFonts w:hint="eastAsia"/>
          <w:color w:val="000000" w:themeColor="text1"/>
          <w:kern w:val="0"/>
          <w:sz w:val="28"/>
          <w:szCs w:val="28"/>
          <w14:textFill>
            <w14:solidFill>
              <w14:schemeClr w14:val="tx1"/>
            </w14:solidFill>
          </w14:textFill>
        </w:rPr>
        <w:t>第一部分 采购项目相关内容及要求</w:t>
      </w:r>
      <w:bookmarkEnd w:id="6"/>
      <w:bookmarkEnd w:id="7"/>
      <w:bookmarkEnd w:id="8"/>
      <w:bookmarkEnd w:id="9"/>
    </w:p>
    <w:p w14:paraId="64E28BF3">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项目基本情况</w:t>
      </w:r>
    </w:p>
    <w:p w14:paraId="6560C853">
      <w:pPr>
        <w:widowControl/>
        <w:spacing w:line="500" w:lineRule="exact"/>
        <w:ind w:firstLine="480" w:firstLineChars="200"/>
        <w:rPr>
          <w:rFonts w:hint="eastAsia" w:ascii="宋体" w:hAnsi="宋体" w:eastAsia="宋体"/>
          <w:color w:val="000000" w:themeColor="text1"/>
          <w:kern w:val="0"/>
          <w:sz w:val="24"/>
          <w:u w:val="single"/>
          <w:lang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采 购 人：</w:t>
      </w:r>
      <w:r>
        <w:rPr>
          <w:rFonts w:hint="eastAsia" w:ascii="宋体" w:hAnsi="宋体" w:cs="宋体"/>
          <w:color w:val="000000" w:themeColor="text1"/>
          <w:sz w:val="24"/>
          <w:lang w:eastAsia="zh-CN"/>
          <w14:textFill>
            <w14:solidFill>
              <w14:schemeClr w14:val="tx1"/>
            </w14:solidFill>
          </w14:textFill>
        </w:rPr>
        <w:t>博爱县民政局</w:t>
      </w:r>
    </w:p>
    <w:p w14:paraId="1576E985">
      <w:pPr>
        <w:widowControl/>
        <w:spacing w:line="50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采购代理机构：</w:t>
      </w:r>
      <w:r>
        <w:rPr>
          <w:rFonts w:hint="eastAsia" w:ascii="宋体" w:hAnsi="宋体" w:eastAsia="宋体" w:cs="宋体"/>
          <w:b w:val="0"/>
          <w:bCs w:val="0"/>
          <w:color w:val="auto"/>
          <w:sz w:val="24"/>
          <w:szCs w:val="24"/>
          <w:lang w:val="en-US" w:eastAsia="zh-CN"/>
        </w:rPr>
        <w:t>山西众恒工程招标代理有限公司</w:t>
      </w:r>
    </w:p>
    <w:p w14:paraId="7CFCC52D">
      <w:pPr>
        <w:widowControl/>
        <w:spacing w:line="500" w:lineRule="exact"/>
        <w:ind w:firstLine="480" w:firstLineChars="200"/>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项目名称: </w:t>
      </w:r>
      <w:r>
        <w:rPr>
          <w:rFonts w:hint="eastAsia" w:ascii="宋体" w:hAnsi="宋体"/>
          <w:color w:val="000000" w:themeColor="text1"/>
          <w:kern w:val="0"/>
          <w:sz w:val="24"/>
          <w:lang w:eastAsia="zh-CN"/>
          <w14:textFill>
            <w14:solidFill>
              <w14:schemeClr w14:val="tx1"/>
            </w14:solidFill>
          </w14:textFill>
        </w:rPr>
        <w:t>博爱县民政局殡仪馆火化炉（含尾气处理设备）采购项目</w:t>
      </w:r>
    </w:p>
    <w:p w14:paraId="0F1587A8">
      <w:pPr>
        <w:widowControl/>
        <w:numPr>
          <w:ilvl w:val="0"/>
          <w:numId w:val="0"/>
        </w:numPr>
        <w:spacing w:line="500" w:lineRule="exact"/>
        <w:ind w:left="480" w:leftChars="0"/>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采购编号：</w:t>
      </w:r>
      <w:r>
        <w:rPr>
          <w:rFonts w:hint="eastAsia" w:ascii="宋体" w:hAnsi="宋体" w:cs="宋体"/>
          <w:color w:val="000000" w:themeColor="text1"/>
          <w:kern w:val="0"/>
          <w:sz w:val="24"/>
          <w:lang w:eastAsia="zh-CN"/>
          <w14:textFill>
            <w14:solidFill>
              <w14:schemeClr w14:val="tx1"/>
            </w14:solidFill>
          </w14:textFill>
        </w:rPr>
        <w:t>博政采购（2026）</w:t>
      </w:r>
      <w:r>
        <w:rPr>
          <w:rFonts w:hint="eastAsia" w:ascii="宋体" w:hAnsi="宋体" w:cs="宋体"/>
          <w:color w:val="000000" w:themeColor="text1"/>
          <w:kern w:val="0"/>
          <w:sz w:val="24"/>
          <w:lang w:val="en-US" w:eastAsia="zh-CN"/>
          <w14:textFill>
            <w14:solidFill>
              <w14:schemeClr w14:val="tx1"/>
            </w14:solidFill>
          </w14:textFill>
        </w:rPr>
        <w:t>37</w:t>
      </w:r>
      <w:r>
        <w:rPr>
          <w:rFonts w:hint="eastAsia" w:ascii="宋体" w:hAnsi="宋体" w:cs="宋体"/>
          <w:color w:val="000000" w:themeColor="text1"/>
          <w:kern w:val="0"/>
          <w:sz w:val="24"/>
          <w:lang w:eastAsia="zh-CN"/>
          <w14:textFill>
            <w14:solidFill>
              <w14:schemeClr w14:val="tx1"/>
            </w14:solidFill>
          </w14:textFill>
        </w:rPr>
        <w:t>号</w:t>
      </w:r>
    </w:p>
    <w:p w14:paraId="440917C5">
      <w:pPr>
        <w:widowControl/>
        <w:numPr>
          <w:ilvl w:val="0"/>
          <w:numId w:val="0"/>
        </w:numPr>
        <w:spacing w:line="500" w:lineRule="exact"/>
        <w:ind w:left="480" w:leftChars="0"/>
        <w:rPr>
          <w:rFonts w:hint="eastAsia" w:ascii="宋体" w:hAnsi="宋体" w:cs="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资</w:t>
      </w:r>
      <w:r>
        <w:rPr>
          <w:rFonts w:hint="eastAsia" w:ascii="宋体" w:hAnsi="宋体" w:cs="宋体"/>
          <w:color w:val="000000" w:themeColor="text1"/>
          <w:kern w:val="0"/>
          <w:sz w:val="24"/>
          <w14:textFill>
            <w14:solidFill>
              <w14:schemeClr w14:val="tx1"/>
            </w14:solidFill>
          </w14:textFill>
        </w:rPr>
        <w:t>金来源：</w:t>
      </w:r>
      <w:r>
        <w:rPr>
          <w:rFonts w:hint="eastAsia" w:ascii="宋体" w:hAnsi="宋体" w:cs="宋体"/>
          <w:color w:val="000000" w:themeColor="text1"/>
          <w:kern w:val="0"/>
          <w:sz w:val="24"/>
          <w:lang w:eastAsia="zh-CN"/>
          <w14:textFill>
            <w14:solidFill>
              <w14:schemeClr w14:val="tx1"/>
            </w14:solidFill>
          </w14:textFill>
        </w:rPr>
        <w:t>上级财政资金</w:t>
      </w:r>
    </w:p>
    <w:p w14:paraId="419E6BA9">
      <w:pPr>
        <w:widowControl/>
        <w:numPr>
          <w:ilvl w:val="0"/>
          <w:numId w:val="3"/>
        </w:numPr>
        <w:spacing w:line="500" w:lineRule="exact"/>
        <w:ind w:left="0" w:leftChars="0" w:firstLine="480" w:firstLineChars="0"/>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供应商资格要求</w:t>
      </w:r>
    </w:p>
    <w:p w14:paraId="45473D2F">
      <w:pPr>
        <w:widowControl/>
        <w:spacing w:line="50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2.1符合《中华人民共和国政府采购法》第二十二条之规定；</w:t>
      </w:r>
    </w:p>
    <w:p w14:paraId="0AC1A28A">
      <w:pPr>
        <w:adjustRightInd w:val="0"/>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2.2</w:t>
      </w:r>
      <w:r>
        <w:rPr>
          <w:rFonts w:hint="eastAsia" w:ascii="宋体" w:hAnsi="宋体" w:cs="宋体"/>
          <w:kern w:val="0"/>
          <w:sz w:val="24"/>
        </w:rPr>
        <w:t>落实政府采购政策需满足的资格要求：促进政府强制采购节能产品及环境标志产品优先采购，该项目全额面向中小企业采购，需要提供中小企业声明函</w:t>
      </w:r>
      <w:r>
        <w:rPr>
          <w:rFonts w:hint="eastAsia" w:ascii="宋体" w:hAnsi="宋体" w:cs="宋体"/>
          <w:color w:val="000000" w:themeColor="text1"/>
          <w:kern w:val="0"/>
          <w:sz w:val="24"/>
          <w14:textFill>
            <w14:solidFill>
              <w14:schemeClr w14:val="tx1"/>
            </w14:solidFill>
          </w14:textFill>
        </w:rPr>
        <w:t>。</w:t>
      </w:r>
    </w:p>
    <w:p w14:paraId="0E8A2318">
      <w:pPr>
        <w:adjustRightInd w:val="0"/>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2.3</w:t>
      </w:r>
      <w:r>
        <w:rPr>
          <w:rFonts w:hint="eastAsia" w:ascii="宋体" w:hAnsi="宋体" w:cs="宋体"/>
          <w:color w:val="000000" w:themeColor="text1"/>
          <w:kern w:val="0"/>
          <w:sz w:val="24"/>
          <w14:textFill>
            <w14:solidFill>
              <w14:schemeClr w14:val="tx1"/>
            </w14:solidFill>
          </w14:textFill>
        </w:rPr>
        <w:t>供应商须具有有效的营业执照</w:t>
      </w:r>
      <w:r>
        <w:rPr>
          <w:rFonts w:hint="eastAsia" w:ascii="宋体" w:hAnsi="宋体" w:cs="宋体"/>
          <w:color w:val="000000" w:themeColor="text1"/>
          <w:sz w:val="24"/>
          <w:shd w:val="clear" w:color="auto" w:fill="FFFFFF"/>
          <w14:textFill>
            <w14:solidFill>
              <w14:schemeClr w14:val="tx1"/>
            </w14:solidFill>
          </w14:textFill>
        </w:rPr>
        <w:t>；</w:t>
      </w:r>
    </w:p>
    <w:p w14:paraId="6AA15A1D">
      <w:pPr>
        <w:widowControl/>
        <w:spacing w:line="50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2.3.1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w:t>
      </w:r>
    </w:p>
    <w:p w14:paraId="1ED8948D">
      <w:pPr>
        <w:widowControl/>
        <w:spacing w:line="50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2.3.2本项目不接受联合体投标；</w:t>
      </w:r>
    </w:p>
    <w:p w14:paraId="00A1CC66">
      <w:pPr>
        <w:widowControl/>
        <w:spacing w:line="50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2.3.3资格审查方式：资格后审。</w:t>
      </w:r>
    </w:p>
    <w:p w14:paraId="3DB37888">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响应文件报价应是竞争性谈判文件和其他相关资料确定的全部工作内容的价格体现。</w:t>
      </w:r>
    </w:p>
    <w:p w14:paraId="12564570">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供应商的响应文件应实质性响应竞争性谈判文件要求。</w:t>
      </w:r>
    </w:p>
    <w:p w14:paraId="22168B71">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响应文件递交截止时间之后，任何人不得更改响应文件。</w:t>
      </w:r>
    </w:p>
    <w:p w14:paraId="333F427C">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如有疑问，请与采购人或采购代理机构联系。</w:t>
      </w:r>
    </w:p>
    <w:p w14:paraId="0273F06A">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合同由成交人与</w:t>
      </w:r>
      <w:r>
        <w:rPr>
          <w:rFonts w:hint="eastAsia" w:ascii="宋体" w:hAnsi="宋体"/>
          <w:color w:val="000000" w:themeColor="text1"/>
          <w:kern w:val="0"/>
          <w:sz w:val="24"/>
          <w:lang w:eastAsia="zh-CN"/>
          <w14:textFill>
            <w14:solidFill>
              <w14:schemeClr w14:val="tx1"/>
            </w14:solidFill>
          </w14:textFill>
        </w:rPr>
        <w:t>博爱县民政局</w:t>
      </w:r>
      <w:r>
        <w:rPr>
          <w:rFonts w:hint="eastAsia" w:ascii="宋体" w:hAnsi="宋体"/>
          <w:color w:val="000000" w:themeColor="text1"/>
          <w:kern w:val="0"/>
          <w:sz w:val="24"/>
          <w14:textFill>
            <w14:solidFill>
              <w14:schemeClr w14:val="tx1"/>
            </w14:solidFill>
          </w14:textFill>
        </w:rPr>
        <w:t>签订。</w:t>
      </w:r>
    </w:p>
    <w:p w14:paraId="5F3DD502">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成交人不得转包项目，否则一经发现，采购人有权另行选择其它单位。</w:t>
      </w:r>
    </w:p>
    <w:p w14:paraId="189031A3">
      <w:pPr>
        <w:widowControl/>
        <w:numPr>
          <w:ilvl w:val="0"/>
          <w:numId w:val="3"/>
        </w:numPr>
        <w:spacing w:line="500" w:lineRule="exact"/>
        <w:ind w:left="0" w:firstLine="480"/>
        <w:rPr>
          <w:rFonts w:hint="eastAsia" w:ascii="宋体" w:hAnsi="宋体" w:eastAsia="宋体"/>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付款方</w:t>
      </w:r>
      <w:r>
        <w:rPr>
          <w:rFonts w:hint="eastAsia" w:ascii="宋体" w:hAnsi="宋体" w:eastAsia="宋体"/>
          <w:color w:val="000000" w:themeColor="text1"/>
          <w:kern w:val="0"/>
          <w:sz w:val="24"/>
          <w14:textFill>
            <w14:solidFill>
              <w14:schemeClr w14:val="tx1"/>
            </w14:solidFill>
          </w14:textFill>
        </w:rPr>
        <w:t>式：</w:t>
      </w:r>
      <w:r>
        <w:rPr>
          <w:rFonts w:hint="eastAsia" w:ascii="宋体" w:hAnsi="宋体" w:eastAsia="宋体"/>
          <w:color w:val="000000" w:themeColor="text1"/>
          <w:kern w:val="0"/>
          <w:sz w:val="24"/>
          <w:lang w:val="en-US" w:eastAsia="zh-CN"/>
          <w14:textFill>
            <w14:solidFill>
              <w14:schemeClr w14:val="tx1"/>
            </w14:solidFill>
          </w14:textFill>
        </w:rPr>
        <w:t>项目完工验收合格后支付合同价款的</w:t>
      </w:r>
      <w:r>
        <w:rPr>
          <w:rFonts w:hint="eastAsia" w:ascii="宋体" w:hAnsi="宋体"/>
          <w:color w:val="000000" w:themeColor="text1"/>
          <w:kern w:val="0"/>
          <w:sz w:val="24"/>
          <w:lang w:val="en-US" w:eastAsia="zh-CN"/>
          <w14:textFill>
            <w14:solidFill>
              <w14:schemeClr w14:val="tx1"/>
            </w14:solidFill>
          </w14:textFill>
        </w:rPr>
        <w:t>75</w:t>
      </w:r>
      <w:r>
        <w:rPr>
          <w:rFonts w:hint="eastAsia" w:ascii="宋体" w:hAnsi="宋体" w:eastAsia="宋体"/>
          <w:color w:val="000000" w:themeColor="text1"/>
          <w:kern w:val="0"/>
          <w:sz w:val="24"/>
          <w:lang w:val="en-US" w:eastAsia="zh-CN"/>
          <w14:textFill>
            <w14:solidFill>
              <w14:schemeClr w14:val="tx1"/>
            </w14:solidFill>
          </w14:textFill>
        </w:rPr>
        <w:t>%，一年期满支付合同价款的</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eastAsia="宋体"/>
          <w:color w:val="000000" w:themeColor="text1"/>
          <w:kern w:val="0"/>
          <w:sz w:val="24"/>
          <w:lang w:val="en-US" w:eastAsia="zh-CN"/>
          <w14:textFill>
            <w14:solidFill>
              <w14:schemeClr w14:val="tx1"/>
            </w14:solidFill>
          </w14:textFill>
        </w:rPr>
        <w:t>5%，两年期满支付合同价款的</w:t>
      </w:r>
      <w:r>
        <w:rPr>
          <w:rFonts w:hint="eastAsia" w:ascii="宋体" w:hAnsi="宋体"/>
          <w:color w:val="000000" w:themeColor="text1"/>
          <w:kern w:val="0"/>
          <w:sz w:val="24"/>
          <w:lang w:val="en-US" w:eastAsia="zh-CN"/>
          <w14:textFill>
            <w14:solidFill>
              <w14:schemeClr w14:val="tx1"/>
            </w14:solidFill>
          </w14:textFill>
        </w:rPr>
        <w:t>10</w:t>
      </w:r>
      <w:r>
        <w:rPr>
          <w:rFonts w:hint="eastAsia" w:ascii="宋体" w:hAnsi="宋体" w:eastAsia="宋体"/>
          <w:color w:val="000000" w:themeColor="text1"/>
          <w:kern w:val="0"/>
          <w:sz w:val="24"/>
          <w:lang w:val="en-US" w:eastAsia="zh-CN"/>
          <w14:textFill>
            <w14:solidFill>
              <w14:schemeClr w14:val="tx1"/>
            </w14:solidFill>
          </w14:textFill>
        </w:rPr>
        <w:t>%。</w:t>
      </w:r>
    </w:p>
    <w:p w14:paraId="63845AF2">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质量要求：合格，符合国家、行业规范标准。</w:t>
      </w:r>
    </w:p>
    <w:p w14:paraId="53839B25">
      <w:pPr>
        <w:widowControl/>
        <w:numPr>
          <w:ilvl w:val="0"/>
          <w:numId w:val="3"/>
        </w:numPr>
        <w:spacing w:line="500" w:lineRule="exact"/>
        <w:ind w:left="0" w:firstLine="480"/>
        <w:rPr>
          <w:rFonts w:hint="eastAsia" w:ascii="宋体" w:hAnsi="宋体" w:eastAsia="宋体"/>
          <w:color w:val="000000" w:themeColor="text1"/>
          <w:kern w:val="0"/>
          <w:sz w:val="24"/>
          <w14:textFill>
            <w14:solidFill>
              <w14:schemeClr w14:val="tx1"/>
            </w14:solidFill>
          </w14:textFill>
        </w:rPr>
      </w:pPr>
      <w:r>
        <w:rPr>
          <w:rFonts w:hint="eastAsia" w:ascii="宋体" w:hAnsi="宋体" w:eastAsia="宋体"/>
          <w:color w:val="000000" w:themeColor="text1"/>
          <w:kern w:val="0"/>
          <w:sz w:val="24"/>
          <w14:textFill>
            <w14:solidFill>
              <w14:schemeClr w14:val="tx1"/>
            </w14:solidFill>
          </w14:textFill>
        </w:rPr>
        <w:t>质保期：</w:t>
      </w:r>
      <w:r>
        <w:rPr>
          <w:rFonts w:hint="eastAsia" w:ascii="宋体" w:hAnsi="宋体"/>
          <w:color w:val="000000" w:themeColor="text1"/>
          <w:kern w:val="0"/>
          <w:sz w:val="24"/>
          <w:lang w:val="en-US" w:eastAsia="zh-CN"/>
          <w14:textFill>
            <w14:solidFill>
              <w14:schemeClr w14:val="tx1"/>
            </w14:solidFill>
          </w14:textFill>
        </w:rPr>
        <w:t>2</w:t>
      </w:r>
      <w:r>
        <w:rPr>
          <w:rFonts w:hint="eastAsia" w:ascii="宋体" w:hAnsi="宋体" w:eastAsia="宋体"/>
          <w:color w:val="000000" w:themeColor="text1"/>
          <w:kern w:val="0"/>
          <w:sz w:val="24"/>
          <w14:textFill>
            <w14:solidFill>
              <w14:schemeClr w14:val="tx1"/>
            </w14:solidFill>
          </w14:textFill>
        </w:rPr>
        <w:t>年。</w:t>
      </w:r>
    </w:p>
    <w:p w14:paraId="0A3B967D">
      <w:pPr>
        <w:widowControl/>
        <w:numPr>
          <w:ilvl w:val="0"/>
          <w:numId w:val="3"/>
        </w:numPr>
        <w:spacing w:line="500" w:lineRule="exact"/>
        <w:ind w:left="0" w:firstLine="480"/>
        <w:rPr>
          <w:rFonts w:hint="eastAsia" w:ascii="宋体" w:hAnsi="宋体" w:eastAsia="宋体"/>
          <w:color w:val="000000" w:themeColor="text1"/>
          <w:kern w:val="0"/>
          <w:sz w:val="24"/>
          <w14:textFill>
            <w14:solidFill>
              <w14:schemeClr w14:val="tx1"/>
            </w14:solidFill>
          </w14:textFill>
        </w:rPr>
      </w:pPr>
      <w:r>
        <w:rPr>
          <w:rFonts w:hint="eastAsia" w:ascii="宋体" w:hAnsi="宋体" w:eastAsia="宋体"/>
          <w:color w:val="000000" w:themeColor="text1"/>
          <w:kern w:val="0"/>
          <w:sz w:val="24"/>
          <w14:textFill>
            <w14:solidFill>
              <w14:schemeClr w14:val="tx1"/>
            </w14:solidFill>
          </w14:textFill>
        </w:rPr>
        <w:t>合同履行期限：</w:t>
      </w:r>
      <w:r>
        <w:rPr>
          <w:rFonts w:hint="eastAsia" w:ascii="宋体" w:hAnsi="宋体" w:cs="宋体"/>
          <w:color w:val="000000" w:themeColor="text1"/>
          <w:kern w:val="0"/>
          <w:sz w:val="24"/>
          <w:lang w:val="en-US" w:eastAsia="zh-CN"/>
          <w14:textFill>
            <w14:solidFill>
              <w14:schemeClr w14:val="tx1"/>
            </w14:solidFill>
          </w14:textFill>
        </w:rPr>
        <w:t>60日历天</w:t>
      </w:r>
      <w:r>
        <w:rPr>
          <w:rFonts w:hint="eastAsia" w:ascii="宋体" w:hAnsi="宋体" w:eastAsia="宋体"/>
          <w:color w:val="000000" w:themeColor="text1"/>
          <w:kern w:val="0"/>
          <w:sz w:val="24"/>
          <w14:textFill>
            <w14:solidFill>
              <w14:schemeClr w14:val="tx1"/>
            </w14:solidFill>
          </w14:textFill>
        </w:rPr>
        <w:t>。</w:t>
      </w:r>
    </w:p>
    <w:p w14:paraId="058C1FA7">
      <w:pPr>
        <w:widowControl/>
        <w:numPr>
          <w:ilvl w:val="0"/>
          <w:numId w:val="0"/>
        </w:numPr>
        <w:spacing w:line="500" w:lineRule="exact"/>
        <w:ind w:left="480" w:leftChars="0"/>
        <w:rPr>
          <w:rFonts w:hint="eastAsia" w:ascii="宋体" w:hAnsi="宋体" w:eastAsia="宋体"/>
          <w:color w:val="000000" w:themeColor="text1"/>
          <w:kern w:val="0"/>
          <w:sz w:val="24"/>
          <w14:textFill>
            <w14:solidFill>
              <w14:schemeClr w14:val="tx1"/>
            </w14:solidFill>
          </w14:textFill>
        </w:rPr>
      </w:pPr>
      <w:bookmarkStart w:id="10" w:name="_Toc31607"/>
      <w:bookmarkStart w:id="11" w:name="_Toc533668869"/>
      <w:bookmarkStart w:id="12" w:name="_Toc27926"/>
    </w:p>
    <w:p w14:paraId="7E1BDBB9">
      <w:pPr>
        <w:pStyle w:val="4"/>
        <w:rPr>
          <w:color w:val="000000" w:themeColor="text1"/>
          <w14:textFill>
            <w14:solidFill>
              <w14:schemeClr w14:val="tx1"/>
            </w14:solidFill>
          </w14:textFill>
        </w:rPr>
      </w:pPr>
    </w:p>
    <w:p w14:paraId="74A05087">
      <w:pPr>
        <w:rPr>
          <w:color w:val="000000" w:themeColor="text1"/>
          <w14:textFill>
            <w14:solidFill>
              <w14:schemeClr w14:val="tx1"/>
            </w14:solidFill>
          </w14:textFill>
        </w:rPr>
      </w:pPr>
    </w:p>
    <w:p w14:paraId="0B77A333">
      <w:pPr>
        <w:pStyle w:val="4"/>
        <w:rPr>
          <w:color w:val="000000" w:themeColor="text1"/>
          <w14:textFill>
            <w14:solidFill>
              <w14:schemeClr w14:val="tx1"/>
            </w14:solidFill>
          </w14:textFill>
        </w:rPr>
      </w:pPr>
    </w:p>
    <w:p w14:paraId="32F3796A">
      <w:pPr>
        <w:rPr>
          <w:color w:val="000000" w:themeColor="text1"/>
          <w14:textFill>
            <w14:solidFill>
              <w14:schemeClr w14:val="tx1"/>
            </w14:solidFill>
          </w14:textFill>
        </w:rPr>
      </w:pPr>
    </w:p>
    <w:p w14:paraId="2BE2BA30">
      <w:pPr>
        <w:pStyle w:val="21"/>
        <w:rPr>
          <w:color w:val="000000" w:themeColor="text1"/>
          <w14:textFill>
            <w14:solidFill>
              <w14:schemeClr w14:val="tx1"/>
            </w14:solidFill>
          </w14:textFill>
        </w:rPr>
      </w:pPr>
    </w:p>
    <w:p w14:paraId="1A00C174">
      <w:pPr>
        <w:rPr>
          <w:color w:val="000000" w:themeColor="text1"/>
          <w14:textFill>
            <w14:solidFill>
              <w14:schemeClr w14:val="tx1"/>
            </w14:solidFill>
          </w14:textFill>
        </w:rPr>
      </w:pPr>
    </w:p>
    <w:p w14:paraId="6C0D9EC9">
      <w:pPr>
        <w:pStyle w:val="21"/>
        <w:rPr>
          <w:color w:val="000000" w:themeColor="text1"/>
          <w14:textFill>
            <w14:solidFill>
              <w14:schemeClr w14:val="tx1"/>
            </w14:solidFill>
          </w14:textFill>
        </w:rPr>
      </w:pPr>
    </w:p>
    <w:p w14:paraId="1916FB42">
      <w:pPr>
        <w:rPr>
          <w:color w:val="000000" w:themeColor="text1"/>
          <w14:textFill>
            <w14:solidFill>
              <w14:schemeClr w14:val="tx1"/>
            </w14:solidFill>
          </w14:textFill>
        </w:rPr>
      </w:pPr>
    </w:p>
    <w:p w14:paraId="1C9BFAF4">
      <w:pPr>
        <w:pStyle w:val="21"/>
        <w:rPr>
          <w:color w:val="000000" w:themeColor="text1"/>
          <w14:textFill>
            <w14:solidFill>
              <w14:schemeClr w14:val="tx1"/>
            </w14:solidFill>
          </w14:textFill>
        </w:rPr>
      </w:pPr>
    </w:p>
    <w:p w14:paraId="4F8BFF81">
      <w:pPr>
        <w:rPr>
          <w:color w:val="000000" w:themeColor="text1"/>
          <w14:textFill>
            <w14:solidFill>
              <w14:schemeClr w14:val="tx1"/>
            </w14:solidFill>
          </w14:textFill>
        </w:rPr>
      </w:pPr>
    </w:p>
    <w:p w14:paraId="03795899">
      <w:pPr>
        <w:pStyle w:val="21"/>
        <w:rPr>
          <w:color w:val="000000" w:themeColor="text1"/>
          <w14:textFill>
            <w14:solidFill>
              <w14:schemeClr w14:val="tx1"/>
            </w14:solidFill>
          </w14:textFill>
        </w:rPr>
      </w:pPr>
    </w:p>
    <w:p w14:paraId="69320C4F">
      <w:pPr>
        <w:rPr>
          <w:color w:val="000000" w:themeColor="text1"/>
          <w14:textFill>
            <w14:solidFill>
              <w14:schemeClr w14:val="tx1"/>
            </w14:solidFill>
          </w14:textFill>
        </w:rPr>
      </w:pPr>
    </w:p>
    <w:p w14:paraId="5CAAA47E">
      <w:pPr>
        <w:pStyle w:val="21"/>
        <w:rPr>
          <w:color w:val="000000" w:themeColor="text1"/>
          <w14:textFill>
            <w14:solidFill>
              <w14:schemeClr w14:val="tx1"/>
            </w14:solidFill>
          </w14:textFill>
        </w:rPr>
      </w:pPr>
    </w:p>
    <w:p w14:paraId="4D5D56B2">
      <w:pPr>
        <w:rPr>
          <w:color w:val="000000" w:themeColor="text1"/>
          <w14:textFill>
            <w14:solidFill>
              <w14:schemeClr w14:val="tx1"/>
            </w14:solidFill>
          </w14:textFill>
        </w:rPr>
      </w:pPr>
    </w:p>
    <w:p w14:paraId="7FB94A61">
      <w:pPr>
        <w:pStyle w:val="21"/>
        <w:rPr>
          <w:color w:val="000000" w:themeColor="text1"/>
          <w14:textFill>
            <w14:solidFill>
              <w14:schemeClr w14:val="tx1"/>
            </w14:solidFill>
          </w14:textFill>
        </w:rPr>
      </w:pPr>
    </w:p>
    <w:p w14:paraId="541E0200">
      <w:pPr>
        <w:rPr>
          <w:color w:val="000000" w:themeColor="text1"/>
          <w14:textFill>
            <w14:solidFill>
              <w14:schemeClr w14:val="tx1"/>
            </w14:solidFill>
          </w14:textFill>
        </w:rPr>
      </w:pPr>
    </w:p>
    <w:p w14:paraId="094EC329">
      <w:pPr>
        <w:rPr>
          <w:color w:val="000000" w:themeColor="text1"/>
          <w14:textFill>
            <w14:solidFill>
              <w14:schemeClr w14:val="tx1"/>
            </w14:solidFill>
          </w14:textFill>
        </w:rPr>
      </w:pPr>
    </w:p>
    <w:p w14:paraId="3B11E04C">
      <w:pPr>
        <w:pStyle w:val="4"/>
        <w:rPr>
          <w:color w:val="000000" w:themeColor="text1"/>
          <w14:textFill>
            <w14:solidFill>
              <w14:schemeClr w14:val="tx1"/>
            </w14:solidFill>
          </w14:textFill>
        </w:rPr>
      </w:pPr>
    </w:p>
    <w:p w14:paraId="2F9AEC43">
      <w:pPr>
        <w:rPr>
          <w:color w:val="000000" w:themeColor="text1"/>
          <w14:textFill>
            <w14:solidFill>
              <w14:schemeClr w14:val="tx1"/>
            </w14:solidFill>
          </w14:textFill>
        </w:rPr>
      </w:pPr>
    </w:p>
    <w:p w14:paraId="306F67B0">
      <w:pPr>
        <w:rPr>
          <w:color w:val="000000" w:themeColor="text1"/>
          <w:kern w:val="0"/>
          <w:sz w:val="28"/>
          <w:szCs w:val="28"/>
          <w14:textFill>
            <w14:solidFill>
              <w14:schemeClr w14:val="tx1"/>
            </w14:solidFill>
          </w14:textFill>
        </w:rPr>
      </w:pPr>
      <w:bookmarkStart w:id="13" w:name="_Toc18477"/>
      <w:r>
        <w:rPr>
          <w:rFonts w:hint="eastAsia"/>
          <w:color w:val="000000" w:themeColor="text1"/>
          <w:kern w:val="0"/>
          <w:sz w:val="28"/>
          <w:szCs w:val="28"/>
          <w14:textFill>
            <w14:solidFill>
              <w14:schemeClr w14:val="tx1"/>
            </w14:solidFill>
          </w14:textFill>
        </w:rPr>
        <w:br w:type="page"/>
      </w:r>
    </w:p>
    <w:p w14:paraId="40E173DD">
      <w:pPr>
        <w:pStyle w:val="3"/>
        <w:spacing w:before="0" w:after="0" w:line="360" w:lineRule="auto"/>
        <w:jc w:val="center"/>
        <w:rPr>
          <w:color w:val="000000" w:themeColor="text1"/>
          <w:kern w:val="0"/>
          <w:sz w:val="28"/>
          <w:szCs w:val="28"/>
          <w14:textFill>
            <w14:solidFill>
              <w14:schemeClr w14:val="tx1"/>
            </w14:solidFill>
          </w14:textFill>
        </w:rPr>
      </w:pPr>
      <w:r>
        <w:rPr>
          <w:rFonts w:hint="eastAsia"/>
          <w:color w:val="000000" w:themeColor="text1"/>
          <w:kern w:val="0"/>
          <w:sz w:val="28"/>
          <w:szCs w:val="28"/>
          <w14:textFill>
            <w14:solidFill>
              <w14:schemeClr w14:val="tx1"/>
            </w14:solidFill>
          </w14:textFill>
        </w:rPr>
        <w:t>第二部分 参与采购须知</w:t>
      </w:r>
      <w:bookmarkEnd w:id="10"/>
      <w:bookmarkEnd w:id="11"/>
      <w:bookmarkEnd w:id="12"/>
      <w:bookmarkEnd w:id="13"/>
    </w:p>
    <w:p w14:paraId="1AFA5534">
      <w:pPr>
        <w:widowControl/>
        <w:spacing w:line="50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一、总则</w:t>
      </w:r>
    </w:p>
    <w:p w14:paraId="67B1965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根据《中华人民共和国政府采购法》以及相关的法律、法规、规章等，按照本文件中预定的评标方式择优选定成交人。</w:t>
      </w:r>
    </w:p>
    <w:p w14:paraId="12542A3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本次竞争性谈判已按照有关规定向博爱县财政局采购办备案。</w:t>
      </w:r>
    </w:p>
    <w:p w14:paraId="31A8C9EC">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维护双方当事人的合法权益，反对不正当竞争。</w:t>
      </w:r>
    </w:p>
    <w:p w14:paraId="5BE6428C">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 供应商应仔细阅读竞争性谈判文件，一旦参与竞争性谈判，均认为响应该竞争性谈判文件中采购人的有关要求。</w:t>
      </w:r>
    </w:p>
    <w:p w14:paraId="3E93B10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 投标费用：供应商在投标过程中所发生的一切费用，不论成交与否，均由供应商自负，采购单位不承担任何责任。</w:t>
      </w:r>
    </w:p>
    <w:p w14:paraId="4964369B">
      <w:pPr>
        <w:widowControl/>
        <w:spacing w:line="500" w:lineRule="exact"/>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二、采购内容及要求</w:t>
      </w:r>
    </w:p>
    <w:p w14:paraId="6EC8D0D0">
      <w:pPr>
        <w:widowControl/>
        <w:spacing w:line="50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1、项目名称：博爱县民政局殡仪馆火化炉（含尾气处理设备）采购项目  </w:t>
      </w:r>
    </w:p>
    <w:p w14:paraId="450C935F">
      <w:pPr>
        <w:widowControl/>
        <w:spacing w:line="500" w:lineRule="exact"/>
        <w:ind w:firstLine="480" w:firstLineChars="200"/>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w:t>
      </w:r>
      <w:r>
        <w:rPr>
          <w:rFonts w:hint="eastAsia" w:ascii="宋体" w:hAnsi="宋体" w:cs="宋体"/>
          <w:color w:val="000000" w:themeColor="text1"/>
          <w:kern w:val="0"/>
          <w:sz w:val="24"/>
          <w:lang w:val="en-US" w:eastAsia="zh-CN"/>
          <w14:textFill>
            <w14:solidFill>
              <w14:schemeClr w14:val="tx1"/>
            </w14:solidFill>
          </w14:textFill>
        </w:rPr>
        <w:t>内容</w:t>
      </w:r>
      <w:r>
        <w:rPr>
          <w:rFonts w:hint="eastAsia" w:ascii="宋体" w:hAnsi="宋体" w:cs="宋体"/>
          <w:color w:val="000000" w:themeColor="text1"/>
          <w:kern w:val="0"/>
          <w:sz w:val="24"/>
          <w14:textFill>
            <w14:solidFill>
              <w14:schemeClr w14:val="tx1"/>
            </w14:solidFill>
          </w14:textFill>
        </w:rPr>
        <w:t>：为保障群众基本殡葬服务需求，确保殡仪馆火化业务安全有序开展，采购殡仪馆火化炉（含尾气处理设备）1</w:t>
      </w:r>
      <w:r>
        <w:rPr>
          <w:rFonts w:hint="eastAsia" w:ascii="宋体" w:hAnsi="宋体" w:cs="宋体"/>
          <w:color w:val="000000" w:themeColor="text1"/>
          <w:kern w:val="0"/>
          <w:sz w:val="24"/>
          <w:lang w:val="en-US" w:eastAsia="zh-CN"/>
          <w14:textFill>
            <w14:solidFill>
              <w14:schemeClr w14:val="tx1"/>
            </w14:solidFill>
          </w14:textFill>
        </w:rPr>
        <w:t>台</w:t>
      </w:r>
      <w:r>
        <w:rPr>
          <w:rFonts w:hint="eastAsia" w:ascii="宋体" w:hAnsi="宋体" w:cs="宋体"/>
          <w:color w:val="000000" w:themeColor="text1"/>
          <w:kern w:val="0"/>
          <w:sz w:val="24"/>
          <w14:textFill>
            <w14:solidFill>
              <w14:schemeClr w14:val="tx1"/>
            </w14:solidFill>
          </w14:textFill>
        </w:rPr>
        <w:t>。</w:t>
      </w:r>
    </w:p>
    <w:p w14:paraId="7E052C81">
      <w:pPr>
        <w:widowControl/>
        <w:spacing w:line="500" w:lineRule="exact"/>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三、采购文件</w:t>
      </w:r>
    </w:p>
    <w:p w14:paraId="10CC0F7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竞争性谈判文件包括本文件和所有按本文件规定发出的补充通知等。</w:t>
      </w:r>
    </w:p>
    <w:p w14:paraId="344F0DAF">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供应商的响应文件应实质上响应竞争性谈判文件的要求，否则，响应文件将被拒绝。</w:t>
      </w:r>
    </w:p>
    <w:p w14:paraId="62D6913B">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竞争性谈判文件的解释。</w:t>
      </w:r>
    </w:p>
    <w:p w14:paraId="3847AA6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供应商对收到的本项目竞争性谈判文件若有疑问，</w:t>
      </w:r>
      <w:r>
        <w:rPr>
          <w:rFonts w:hint="eastAsia" w:ascii="宋体" w:hAnsi="宋体" w:cs="宋体"/>
          <w:bCs/>
          <w:color w:val="000000" w:themeColor="text1"/>
          <w:sz w:val="24"/>
          <w14:textFill>
            <w14:solidFill>
              <w14:schemeClr w14:val="tx1"/>
            </w14:solidFill>
          </w14:textFill>
        </w:rPr>
        <w:t>应以书面形式向</w:t>
      </w:r>
      <w:r>
        <w:rPr>
          <w:rFonts w:hint="eastAsia" w:ascii="宋体" w:hAnsi="宋体" w:cs="宋体"/>
          <w:color w:val="000000" w:themeColor="text1"/>
          <w:kern w:val="0"/>
          <w:sz w:val="24"/>
          <w14:textFill>
            <w14:solidFill>
              <w14:schemeClr w14:val="tx1"/>
            </w14:solidFill>
          </w14:textFill>
        </w:rPr>
        <w:t>采购人、采购代理机构提出，采购人和采购代理机构将在提起之日起七个工作日内以书面形式给予答复。</w:t>
      </w:r>
    </w:p>
    <w:p w14:paraId="751B2A05">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本竞争性谈判文件的解释权属于</w:t>
      </w:r>
      <w:r>
        <w:rPr>
          <w:rFonts w:hint="eastAsia"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kern w:val="0"/>
          <w:sz w:val="24"/>
          <w14:textFill>
            <w14:solidFill>
              <w14:schemeClr w14:val="tx1"/>
            </w14:solidFill>
          </w14:textFill>
        </w:rPr>
        <w:t>。</w:t>
      </w:r>
    </w:p>
    <w:p w14:paraId="51206190">
      <w:pPr>
        <w:widowControl/>
        <w:spacing w:line="500" w:lineRule="exact"/>
        <w:ind w:left="42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4.竞争性谈判文件的修改。</w:t>
      </w:r>
    </w:p>
    <w:p w14:paraId="7EAE433E">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 在竞争性谈判文件发出后，如需对文件进行修改，应在竞争性谈判开始前以补充通知的形式在相关网站发布。</w:t>
      </w:r>
    </w:p>
    <w:p w14:paraId="3C4FA05C">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 竞争性谈判文件、补充通知内容相互矛盾时，以最后发出的通知为准。</w:t>
      </w:r>
    </w:p>
    <w:p w14:paraId="1719FCA4">
      <w:pPr>
        <w:rPr>
          <w:rFonts w:hint="eastAsia"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14:paraId="259E9681">
      <w:pPr>
        <w:widowControl/>
        <w:spacing w:line="500" w:lineRule="exact"/>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四、采购要求</w:t>
      </w:r>
    </w:p>
    <w:p w14:paraId="71A550DF">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确定成交人后，成交人要按照响应文件中承诺的内容履行合同。</w:t>
      </w:r>
    </w:p>
    <w:p w14:paraId="139C3F05">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参加竞争性谈判的供应商应按竞争性谈判文件中提供的格式填写响应文件，否则将认为是对该竞争性谈判文件的不响应。</w:t>
      </w:r>
    </w:p>
    <w:p w14:paraId="30B292FF">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对竞争性谈判文件未作出实质性响应的供应商将被拒绝参与谈判。</w:t>
      </w:r>
    </w:p>
    <w:p w14:paraId="7053259D">
      <w:pPr>
        <w:widowControl/>
        <w:spacing w:line="500" w:lineRule="exact"/>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五、响应文件的编制、递交和修改</w:t>
      </w:r>
    </w:p>
    <w:p w14:paraId="73422538">
      <w:pPr>
        <w:widowControl/>
        <w:spacing w:line="500" w:lineRule="exact"/>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1. 响应文件的语言及格式</w:t>
      </w:r>
    </w:p>
    <w:p w14:paraId="3E22F891">
      <w:pPr>
        <w:widowControl/>
        <w:spacing w:line="50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 供应商应按照竞争性谈判文件提供的格式编写响应性文件，但不得缺少或私自更改任何谈判文件要求填写的表格或提交的资料。谈判文件提供格式的可按格式填列，未提供格式的可自行拟定。</w:t>
      </w:r>
    </w:p>
    <w:p w14:paraId="0BD361DE">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 与报价有关的所有文件必须使用中文（本竞争性谈判文件中有特殊要求的情形除外），供应商必须使用竞争性谈判文件中规定的文件格式。</w:t>
      </w:r>
    </w:p>
    <w:p w14:paraId="481DBE36">
      <w:pPr>
        <w:widowControl/>
        <w:numPr>
          <w:ilvl w:val="0"/>
          <w:numId w:val="4"/>
        </w:numPr>
        <w:spacing w:line="500" w:lineRule="exact"/>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响应文件的组成</w:t>
      </w:r>
    </w:p>
    <w:p w14:paraId="6866040E">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响应文件应主要包括下列部分：</w:t>
      </w:r>
    </w:p>
    <w:p w14:paraId="313CDEA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 投标函、投标报价明细表；</w:t>
      </w:r>
    </w:p>
    <w:p w14:paraId="50D65BA4">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 法定代表人身份证明；</w:t>
      </w:r>
    </w:p>
    <w:p w14:paraId="4972BD6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 授权人委托书；</w:t>
      </w:r>
    </w:p>
    <w:p w14:paraId="4C205431">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2.4 供应商资格证明承诺函；</w:t>
      </w:r>
    </w:p>
    <w:p w14:paraId="6C2DD13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2.5 供应商服务承诺和优惠承诺；</w:t>
      </w:r>
    </w:p>
    <w:p w14:paraId="57099D39">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2.6 供应商所投产品属于当期政府采购清单规定的节能环保产品的证明材料(如有)；</w:t>
      </w:r>
    </w:p>
    <w:p w14:paraId="7391659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2.7 投标承诺函；</w:t>
      </w:r>
    </w:p>
    <w:p w14:paraId="0920E62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2.8 中小企业声明函；</w:t>
      </w:r>
    </w:p>
    <w:p w14:paraId="68014701">
      <w:pPr>
        <w:widowControl/>
        <w:spacing w:line="50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2.9 残疾人福利性单位声明函（如有）；</w:t>
      </w:r>
    </w:p>
    <w:p w14:paraId="78B451AA">
      <w:pPr>
        <w:widowControl/>
        <w:spacing w:line="50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s="宋体"/>
          <w:color w:val="000000" w:themeColor="text1"/>
          <w:kern w:val="0"/>
          <w:sz w:val="24"/>
          <w:lang w:val="en-US" w:eastAsia="zh-CN"/>
          <w14:textFill>
            <w14:solidFill>
              <w14:schemeClr w14:val="tx1"/>
            </w14:solidFill>
          </w14:textFill>
        </w:rPr>
        <w:t>0</w:t>
      </w:r>
      <w:r>
        <w:rPr>
          <w:rFonts w:hint="eastAsia" w:ascii="宋体" w:hAnsi="宋体" w:cs="宋体"/>
          <w:color w:val="000000" w:themeColor="text1"/>
          <w:kern w:val="0"/>
          <w:sz w:val="24"/>
          <w14:textFill>
            <w14:solidFill>
              <w14:schemeClr w14:val="tx1"/>
            </w14:solidFill>
          </w14:textFill>
        </w:rPr>
        <w:t>监狱企业声明函（如有）</w:t>
      </w:r>
    </w:p>
    <w:p w14:paraId="5ECAE381">
      <w:pPr>
        <w:widowControl/>
        <w:spacing w:line="500" w:lineRule="exact"/>
        <w:ind w:firstLine="480" w:firstLineChars="200"/>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2.11</w:t>
      </w:r>
      <w:r>
        <w:rPr>
          <w:rFonts w:hint="eastAsia" w:ascii="宋体" w:hAnsi="宋体" w:cs="宋体"/>
          <w:color w:val="000000" w:themeColor="text1"/>
          <w:kern w:val="0"/>
          <w:sz w:val="24"/>
          <w14:textFill>
            <w14:solidFill>
              <w14:schemeClr w14:val="tx1"/>
            </w14:solidFill>
          </w14:textFill>
        </w:rPr>
        <w:t>关于符合本国产品标准的声明函</w:t>
      </w:r>
      <w:r>
        <w:rPr>
          <w:rFonts w:hint="eastAsia" w:ascii="宋体" w:hAnsi="宋体" w:cs="宋体"/>
          <w:color w:val="000000" w:themeColor="text1"/>
          <w:kern w:val="0"/>
          <w:sz w:val="24"/>
          <w:lang w:eastAsia="zh-CN"/>
          <w14:textFill>
            <w14:solidFill>
              <w14:schemeClr w14:val="tx1"/>
            </w14:solidFill>
          </w14:textFill>
        </w:rPr>
        <w:t>；</w:t>
      </w:r>
    </w:p>
    <w:p w14:paraId="140DD58C">
      <w:pPr>
        <w:widowControl/>
        <w:spacing w:line="50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2.12</w:t>
      </w:r>
      <w:r>
        <w:rPr>
          <w:rFonts w:hint="eastAsia" w:ascii="宋体" w:hAnsi="宋体" w:cs="宋体"/>
          <w:color w:val="000000" w:themeColor="text1"/>
          <w:kern w:val="0"/>
          <w:sz w:val="24"/>
          <w14:textFill>
            <w14:solidFill>
              <w14:schemeClr w14:val="tx1"/>
            </w14:solidFill>
          </w14:textFill>
        </w:rPr>
        <w:t>竞争性谈判文件要求的或供应商认为需要加以说明的其他内容。</w:t>
      </w:r>
    </w:p>
    <w:p w14:paraId="4AD5C665">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全套响应文件应无涂改和行间插字，如有修改应在修改处加盖供应商的企业印章（即公章）或企业法定代表人或其委托代理人印章（或签字）。</w:t>
      </w:r>
    </w:p>
    <w:p w14:paraId="40C4DAF8">
      <w:pPr>
        <w:widowControl/>
        <w:spacing w:line="50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1、符合《政府采购法》第二十二条规定的资格条件，按照采购文件约定提供资格承诺，不再提供资质资料，主要包括供应商在响应文件中无需再提供营业执照、财务状况报告、依法缴纳税收和社会保障资金、具有履行合同所必须的设备和专业技术能力、参加政府采购活动前三年内再经营活动中没有重大违法记录相关证明材料。</w:t>
      </w:r>
    </w:p>
    <w:p w14:paraId="328D097E">
      <w:pPr>
        <w:widowControl/>
        <w:spacing w:line="500" w:lineRule="exact"/>
        <w:ind w:firstLine="482" w:firstLineChars="200"/>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5A7A497E">
      <w:pPr>
        <w:spacing w:line="500" w:lineRule="exact"/>
        <w:ind w:firstLine="482" w:firstLineChars="200"/>
        <w:rPr>
          <w:rFonts w:ascii="宋体" w:hAnsi="宋体" w:cs="宋体"/>
          <w:b/>
          <w:bCs/>
          <w:color w:val="000000" w:themeColor="text1"/>
          <w:sz w:val="24"/>
          <w14:textFill>
            <w14:solidFill>
              <w14:schemeClr w14:val="tx1"/>
            </w14:solidFill>
          </w14:textFill>
        </w:rPr>
      </w:pPr>
      <w:bookmarkStart w:id="14" w:name="_Toc279599793"/>
      <w:bookmarkStart w:id="15" w:name="_Toc403122514"/>
      <w:bookmarkStart w:id="16" w:name="_Toc426369503"/>
      <w:bookmarkStart w:id="17" w:name="_Toc274249597"/>
      <w:r>
        <w:rPr>
          <w:rFonts w:hint="eastAsia" w:ascii="宋体" w:hAnsi="宋体" w:cs="宋体"/>
          <w:b/>
          <w:bCs/>
          <w:color w:val="000000" w:themeColor="text1"/>
          <w:sz w:val="24"/>
          <w14:textFill>
            <w14:solidFill>
              <w14:schemeClr w14:val="tx1"/>
            </w14:solidFill>
          </w14:textFill>
        </w:rPr>
        <w:t xml:space="preserve">3. </w:t>
      </w:r>
      <w:r>
        <w:rPr>
          <w:rFonts w:hint="eastAsia" w:ascii="宋体" w:hAnsi="宋体" w:cs="宋体"/>
          <w:b/>
          <w:bCs/>
          <w:color w:val="000000" w:themeColor="text1"/>
          <w:kern w:val="0"/>
          <w:sz w:val="24"/>
          <w14:textFill>
            <w14:solidFill>
              <w14:schemeClr w14:val="tx1"/>
            </w14:solidFill>
          </w14:textFill>
        </w:rPr>
        <w:t>响应</w:t>
      </w:r>
      <w:r>
        <w:rPr>
          <w:rFonts w:hint="eastAsia" w:ascii="宋体" w:hAnsi="宋体" w:cs="宋体"/>
          <w:b/>
          <w:bCs/>
          <w:color w:val="000000" w:themeColor="text1"/>
          <w:sz w:val="24"/>
          <w14:textFill>
            <w14:solidFill>
              <w14:schemeClr w14:val="tx1"/>
            </w14:solidFill>
          </w14:textFill>
        </w:rPr>
        <w:t>文件的编制</w:t>
      </w:r>
      <w:bookmarkEnd w:id="14"/>
      <w:bookmarkEnd w:id="15"/>
      <w:bookmarkEnd w:id="16"/>
      <w:bookmarkEnd w:id="17"/>
    </w:p>
    <w:p w14:paraId="4717CFCB">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响应文件应按竞争性谈判文件中要求使用焦作市公共资源交易系统</w:t>
      </w:r>
      <w:r>
        <w:rPr>
          <w:rFonts w:hint="eastAsia" w:ascii="宋体" w:hAnsi="宋体" w:cs="宋体"/>
          <w:bCs/>
          <w:color w:val="000000" w:themeColor="text1"/>
          <w:kern w:val="0"/>
          <w:sz w:val="24"/>
          <w14:textFill>
            <w14:solidFill>
              <w14:schemeClr w14:val="tx1"/>
            </w14:solidFill>
          </w14:textFill>
        </w:rPr>
        <w:t>响应性</w:t>
      </w:r>
      <w:r>
        <w:rPr>
          <w:rFonts w:hint="eastAsia" w:ascii="宋体" w:hAnsi="宋体" w:cs="宋体"/>
          <w:color w:val="000000" w:themeColor="text1"/>
          <w:sz w:val="24"/>
          <w14:textFill>
            <w14:solidFill>
              <w14:schemeClr w14:val="tx1"/>
            </w14:solidFill>
          </w14:textFill>
        </w:rPr>
        <w:t xml:space="preserve">文件制作专用工具软件编制。 </w:t>
      </w:r>
    </w:p>
    <w:p w14:paraId="0F0F444F">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 响应文件应当对竞争性谈判文件有关合同履行期限、投标有效期、质量要求、采购要求及服务内容等实质性内容作出承诺及响应。</w:t>
      </w:r>
    </w:p>
    <w:p w14:paraId="19E497AC">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 本项目采用电子开评标方式，潜在供应商可提前在焦作市交易中心官网首页---下载中心--下载《焦作市电子招投标系统操作手册》、《焦作市公共资源交易平台不见面开标操作手册》和《投标文件制作工作工具》等查看操作说明，按要求进行</w:t>
      </w:r>
      <w:r>
        <w:rPr>
          <w:rFonts w:hint="eastAsia" w:ascii="宋体" w:hAnsi="宋体" w:cs="宋体"/>
          <w:bCs/>
          <w:color w:val="000000" w:themeColor="text1"/>
          <w:kern w:val="0"/>
          <w:sz w:val="24"/>
          <w14:textFill>
            <w14:solidFill>
              <w14:schemeClr w14:val="tx1"/>
            </w14:solidFill>
          </w14:textFill>
        </w:rPr>
        <w:t>响应性</w:t>
      </w:r>
      <w:r>
        <w:rPr>
          <w:rFonts w:hint="eastAsia" w:ascii="宋体" w:hAnsi="宋体" w:cs="宋体"/>
          <w:color w:val="000000" w:themeColor="text1"/>
          <w:sz w:val="24"/>
          <w14:textFill>
            <w14:solidFill>
              <w14:schemeClr w14:val="tx1"/>
            </w14:solidFill>
          </w14:textFill>
        </w:rPr>
        <w:t>文件制作和上传等。为避免网络拥堵等不可控因素影响投标文件的上传，请提前上传</w:t>
      </w:r>
      <w:r>
        <w:rPr>
          <w:rFonts w:hint="eastAsia" w:ascii="宋体" w:hAnsi="宋体" w:cs="宋体"/>
          <w:bCs/>
          <w:color w:val="000000" w:themeColor="text1"/>
          <w:kern w:val="0"/>
          <w:sz w:val="24"/>
          <w14:textFill>
            <w14:solidFill>
              <w14:schemeClr w14:val="tx1"/>
            </w14:solidFill>
          </w14:textFill>
        </w:rPr>
        <w:t>响应性</w:t>
      </w:r>
      <w:r>
        <w:rPr>
          <w:rFonts w:hint="eastAsia" w:ascii="宋体" w:hAnsi="宋体" w:cs="宋体"/>
          <w:color w:val="000000" w:themeColor="text1"/>
          <w:sz w:val="24"/>
          <w14:textFill>
            <w14:solidFill>
              <w14:schemeClr w14:val="tx1"/>
            </w14:solidFill>
          </w14:textFill>
        </w:rPr>
        <w:t>文件，按要求解密</w:t>
      </w:r>
      <w:r>
        <w:rPr>
          <w:rFonts w:hint="eastAsia" w:ascii="宋体" w:hAnsi="宋体" w:cs="宋体"/>
          <w:bCs/>
          <w:color w:val="000000" w:themeColor="text1"/>
          <w:kern w:val="0"/>
          <w:sz w:val="24"/>
          <w14:textFill>
            <w14:solidFill>
              <w14:schemeClr w14:val="tx1"/>
            </w14:solidFill>
          </w14:textFill>
        </w:rPr>
        <w:t>响应性</w:t>
      </w:r>
      <w:r>
        <w:rPr>
          <w:rFonts w:hint="eastAsia" w:ascii="宋体" w:hAnsi="宋体" w:cs="宋体"/>
          <w:color w:val="000000" w:themeColor="text1"/>
          <w:sz w:val="24"/>
          <w14:textFill>
            <w14:solidFill>
              <w14:schemeClr w14:val="tx1"/>
            </w14:solidFill>
          </w14:textFill>
        </w:rPr>
        <w:t>文件。因文件未及时上传导致投标失败的责任由供应商自行承担。</w:t>
      </w:r>
    </w:p>
    <w:p w14:paraId="06F246B6">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 签字盖章要求：</w:t>
      </w:r>
    </w:p>
    <w:p w14:paraId="6C9EFA1A">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3.4.1 要求供应商加盖公章的地方都应加盖供应商单位的 CA 印章。</w:t>
      </w:r>
    </w:p>
    <w:p w14:paraId="63AAE21A">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3.4.2 要求法定代表人签字或盖章的，法定代表人在签字或盖章的地方上传手写签名的扫描件或加盖法定代表人 CA 印章。</w:t>
      </w:r>
    </w:p>
    <w:p w14:paraId="570D2613">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3.4.3 要求委托代理人签字或盖章的，委托代理人在签字或盖章的地方上传手写签名的扫描件或加盖委托代理人 CA 印章。</w:t>
      </w:r>
    </w:p>
    <w:p w14:paraId="37652227">
      <w:pPr>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 响应性文件的语言和计量单位</w:t>
      </w:r>
    </w:p>
    <w:p w14:paraId="79FEB4FB">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 谈判文件以及供应商与采购人、采购代理机构就有关投标事宜的所有来往函电均应使用简体中文书写。</w:t>
      </w:r>
    </w:p>
    <w:p w14:paraId="6F615360">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4.2 关于投标计量单位，谈判文件已有明确规定的，使用响应性文件规定的计量单位；谈判文件没有规定的，应采用中华人民共和国法定计量单位。 </w:t>
      </w:r>
    </w:p>
    <w:p w14:paraId="1BD36D87">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567E2B2">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 本响应性文件所表述的时间均为北京时间。</w:t>
      </w:r>
    </w:p>
    <w:p w14:paraId="3C5204C9">
      <w:pPr>
        <w:pStyle w:val="6"/>
        <w:spacing w:before="0" w:after="0" w:line="500" w:lineRule="exact"/>
        <w:ind w:firstLine="482" w:firstLineChars="200"/>
        <w:rPr>
          <w:rFonts w:ascii="宋体" w:hAnsi="宋体" w:cs="宋体"/>
          <w:bCs w:val="0"/>
          <w:color w:val="000000" w:themeColor="text1"/>
          <w:sz w:val="24"/>
          <w:szCs w:val="24"/>
          <w14:textFill>
            <w14:solidFill>
              <w14:schemeClr w14:val="tx1"/>
            </w14:solidFill>
          </w14:textFill>
        </w:rPr>
      </w:pPr>
      <w:r>
        <w:rPr>
          <w:rFonts w:hint="eastAsia" w:ascii="宋体" w:hAnsi="宋体" w:cs="宋体"/>
          <w:bCs w:val="0"/>
          <w:color w:val="000000" w:themeColor="text1"/>
          <w:sz w:val="24"/>
          <w:szCs w:val="24"/>
          <w14:textFill>
            <w14:solidFill>
              <w14:schemeClr w14:val="tx1"/>
            </w14:solidFill>
          </w14:textFill>
        </w:rPr>
        <w:t>5. 响应文件的补充与撤回</w:t>
      </w:r>
    </w:p>
    <w:p w14:paraId="383B277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5.1 供应商在投标截止时间前可对其响应性文件进行修改并重新上传或在焦作市电子招投标交易平台上进行撤回投标的操作。</w:t>
      </w:r>
    </w:p>
    <w:p w14:paraId="42351D73">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5.2 供应商在响应文件递交截止时间后不能修改、补充替代或撤回其响应文件。</w:t>
      </w:r>
    </w:p>
    <w:p w14:paraId="5B38805F">
      <w:pPr>
        <w:spacing w:line="500" w:lineRule="exact"/>
        <w:ind w:firstLine="482" w:firstLineChars="200"/>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6、响应性文件有下列情形之一的，采购代理机构不予接收。</w:t>
      </w:r>
    </w:p>
    <w:p w14:paraId="3CCDD177">
      <w:pPr>
        <w:spacing w:line="50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6.1在响应文件递交截止时间以后递交的响应性文件为无效文件，采购人将不予接收。</w:t>
      </w:r>
    </w:p>
    <w:p w14:paraId="6B399DAF">
      <w:pPr>
        <w:spacing w:line="50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6.2未按竞争性谈判文件要求签章的。</w:t>
      </w:r>
    </w:p>
    <w:p w14:paraId="77806596">
      <w:pPr>
        <w:widowControl/>
        <w:spacing w:line="500" w:lineRule="exact"/>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六、投标报价</w:t>
      </w:r>
    </w:p>
    <w:p w14:paraId="2F2D00CB">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控制价</w:t>
      </w:r>
    </w:p>
    <w:p w14:paraId="23D3D9AB">
      <w:pPr>
        <w:widowControl/>
        <w:spacing w:line="500" w:lineRule="exact"/>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本项目预算控制金额</w:t>
      </w:r>
      <w:r>
        <w:rPr>
          <w:rFonts w:hint="eastAsia" w:ascii="宋体" w:hAnsi="宋体" w:cs="宋体"/>
          <w:b/>
          <w:bCs/>
          <w:color w:val="000000" w:themeColor="text1"/>
          <w:kern w:val="0"/>
          <w:sz w:val="24"/>
          <w:u w:val="single"/>
          <w:lang w:val="en-US" w:eastAsia="zh-CN"/>
          <w14:textFill>
            <w14:solidFill>
              <w14:schemeClr w14:val="tx1"/>
            </w14:solidFill>
          </w14:textFill>
        </w:rPr>
        <w:t>100</w:t>
      </w:r>
      <w:r>
        <w:rPr>
          <w:rFonts w:hint="eastAsia" w:ascii="宋体" w:hAnsi="宋体" w:cs="宋体"/>
          <w:b/>
          <w:bCs/>
          <w:color w:val="000000" w:themeColor="text1"/>
          <w:kern w:val="0"/>
          <w:sz w:val="24"/>
          <w:u w:val="single"/>
          <w:lang w:eastAsia="zh-CN"/>
          <w14:textFill>
            <w14:solidFill>
              <w14:schemeClr w14:val="tx1"/>
            </w14:solidFill>
          </w14:textFill>
        </w:rPr>
        <w:t>0000</w:t>
      </w:r>
      <w:r>
        <w:rPr>
          <w:rFonts w:hint="eastAsia" w:ascii="宋体" w:hAnsi="宋体" w:cs="宋体"/>
          <w:b/>
          <w:bCs/>
          <w:color w:val="000000" w:themeColor="text1"/>
          <w:kern w:val="0"/>
          <w:sz w:val="24"/>
          <w:u w:val="single"/>
          <w14:textFill>
            <w14:solidFill>
              <w14:schemeClr w14:val="tx1"/>
            </w14:solidFill>
          </w14:textFill>
        </w:rPr>
        <w:t>.00元</w:t>
      </w:r>
      <w:r>
        <w:rPr>
          <w:rFonts w:hint="eastAsia" w:ascii="宋体" w:hAnsi="宋体" w:cs="宋体"/>
          <w:b/>
          <w:bCs/>
          <w:color w:val="000000" w:themeColor="text1"/>
          <w:kern w:val="0"/>
          <w:sz w:val="24"/>
          <w14:textFill>
            <w14:solidFill>
              <w14:schemeClr w14:val="tx1"/>
            </w14:solidFill>
          </w14:textFill>
        </w:rPr>
        <w:t>（大写</w:t>
      </w:r>
      <w:r>
        <w:rPr>
          <w:rFonts w:hint="eastAsia" w:ascii="宋体" w:hAnsi="宋体" w:cs="宋体"/>
          <w:b/>
          <w:bCs/>
          <w:color w:val="000000" w:themeColor="text1"/>
          <w:kern w:val="0"/>
          <w:sz w:val="24"/>
          <w:u w:val="single"/>
          <w14:textFill>
            <w14:solidFill>
              <w14:schemeClr w14:val="tx1"/>
            </w14:solidFill>
          </w14:textFill>
        </w:rPr>
        <w:t>：</w:t>
      </w:r>
      <w:r>
        <w:rPr>
          <w:rFonts w:hint="eastAsia" w:ascii="宋体" w:hAnsi="宋体" w:cs="宋体"/>
          <w:b/>
          <w:bCs/>
          <w:color w:val="000000" w:themeColor="text1"/>
          <w:kern w:val="0"/>
          <w:sz w:val="24"/>
          <w:u w:val="single"/>
          <w:lang w:val="en-US" w:eastAsia="zh-CN"/>
          <w14:textFill>
            <w14:solidFill>
              <w14:schemeClr w14:val="tx1"/>
            </w14:solidFill>
          </w14:textFill>
        </w:rPr>
        <w:t>壹佰万元整</w:t>
      </w:r>
      <w:r>
        <w:rPr>
          <w:rFonts w:hint="eastAsia" w:ascii="宋体" w:hAnsi="宋体" w:cs="宋体"/>
          <w:b/>
          <w:bCs/>
          <w:color w:val="000000" w:themeColor="text1"/>
          <w:kern w:val="0"/>
          <w:sz w:val="24"/>
          <w14:textFill>
            <w14:solidFill>
              <w14:schemeClr w14:val="tx1"/>
            </w14:solidFill>
          </w14:textFill>
        </w:rPr>
        <w:t>）。</w:t>
      </w:r>
    </w:p>
    <w:p w14:paraId="3C02854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供应商的投标报价高于招标控制价的视为无效报价，其投标予以拒绝。当成交人的投标价高于控制价的95%时，该成交人的成交价按控制价的95%执行。</w:t>
      </w:r>
    </w:p>
    <w:p w14:paraId="6C9E1B82">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投标报价</w:t>
      </w:r>
    </w:p>
    <w:p w14:paraId="24DD297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 投标报价应包括竞争性谈判文件确定采购范围的全部工作内容，以及其响应文件编制与递交所涉及的一切费用。供应商以人民币为计量币种报价，并以人民币币种签约、结算。</w:t>
      </w:r>
    </w:p>
    <w:p w14:paraId="28F7F35B">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 供应商的投标报价应包括货物本身的费用、包装费、运输费、装卸费、运输过程保险费、安装费、质量保证费、相关的伴随服务费、货物本身已支付或将支付的各种税费以及其它交付使用前的所有费用。</w:t>
      </w:r>
    </w:p>
    <w:p w14:paraId="7D09D98C">
      <w:pPr>
        <w:spacing w:line="500" w:lineRule="exact"/>
        <w:ind w:firstLine="48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投标价不是唯一的或不是固定不变的响应文件将被作为非响应性投标而予以拒绝，供应商所报的投标价在投标有效期内是固定不变的，供应商不得以任何理由予以变更。</w:t>
      </w:r>
    </w:p>
    <w:p w14:paraId="6E7B995C">
      <w:pPr>
        <w:widowControl/>
        <w:spacing w:line="50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七、谈判程序</w:t>
      </w:r>
    </w:p>
    <w:p w14:paraId="6291CDE5">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 采购程序</w:t>
      </w:r>
    </w:p>
    <w:p w14:paraId="26F2C1D1">
      <w:pPr>
        <w:widowControl/>
        <w:spacing w:line="500" w:lineRule="exact"/>
        <w:ind w:firstLine="480"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1.采购人在规定的投标截止时间（开标时间）和投标须知前附表规定的地点公开开标。本项目采用“远程不见面”的开标方式,载明远程开标大厅网址</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https://ggzy.jiaozuo.gov.cn/BidOpeningHall/bidhall/dqhnjz/login.html</w:t>
      </w:r>
      <w:r>
        <w:rPr>
          <w:rFonts w:hint="eastAsia" w:ascii="宋体" w:hAnsi="宋体" w:cs="宋体"/>
          <w:color w:val="auto"/>
          <w:kern w:val="0"/>
          <w:sz w:val="24"/>
          <w:highlight w:val="none"/>
        </w:rPr>
        <w:t>）</w:t>
      </w:r>
      <w:r>
        <w:rPr>
          <w:rFonts w:hint="eastAsia" w:ascii="宋体" w:hAnsi="宋体" w:cs="宋体"/>
          <w:color w:val="000000" w:themeColor="text1"/>
          <w:kern w:val="0"/>
          <w:sz w:val="24"/>
          <w14:textFill>
            <w14:solidFill>
              <w14:schemeClr w14:val="tx1"/>
            </w14:solidFill>
          </w14:textFill>
        </w:rPr>
        <w:t>。供应商无需到现场参加开标会议，无需到达现场提交原件资料。登录远程不见面开标大厅，在线准时参加开标活动。在规定时间内响应性文件未解密的供应商，视为放弃投标。</w:t>
      </w:r>
    </w:p>
    <w:p w14:paraId="3FCF25B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2.所有</w:t>
      </w:r>
      <w:r>
        <w:rPr>
          <w:rFonts w:hint="eastAsia" w:ascii="宋体" w:hAnsi="宋体" w:cs="宋体"/>
          <w:bCs/>
          <w:color w:val="000000" w:themeColor="text1"/>
          <w:kern w:val="0"/>
          <w:sz w:val="24"/>
          <w14:textFill>
            <w14:solidFill>
              <w14:schemeClr w14:val="tx1"/>
            </w14:solidFill>
          </w14:textFill>
        </w:rPr>
        <w:t>响应性</w:t>
      </w:r>
      <w:r>
        <w:rPr>
          <w:rFonts w:hint="eastAsia" w:ascii="宋体" w:hAnsi="宋体" w:cs="宋体"/>
          <w:color w:val="000000" w:themeColor="text1"/>
          <w:kern w:val="0"/>
          <w:sz w:val="24"/>
          <w14:textFill>
            <w14:solidFill>
              <w14:schemeClr w14:val="tx1"/>
            </w14:solidFill>
          </w14:textFill>
        </w:rPr>
        <w:t>文件必须在本竞争性谈判文件中规定的</w:t>
      </w:r>
      <w:r>
        <w:rPr>
          <w:rFonts w:hint="eastAsia" w:ascii="宋体" w:hAnsi="宋体" w:cs="宋体"/>
          <w:color w:val="000000" w:themeColor="text1"/>
          <w:sz w:val="24"/>
          <w14:textFill>
            <w14:solidFill>
              <w14:schemeClr w14:val="tx1"/>
            </w14:solidFill>
          </w14:textFill>
        </w:rPr>
        <w:t>时间进行签到、文件解密、答疑澄清等</w:t>
      </w:r>
      <w:r>
        <w:rPr>
          <w:rFonts w:hint="eastAsia" w:ascii="宋体" w:hAnsi="宋体" w:cs="宋体"/>
          <w:color w:val="000000" w:themeColor="text1"/>
          <w:kern w:val="0"/>
          <w:sz w:val="24"/>
          <w14:textFill>
            <w14:solidFill>
              <w14:schemeClr w14:val="tx1"/>
            </w14:solidFill>
          </w14:textFill>
        </w:rPr>
        <w:t>，不能按时上传、解密者视为自动放弃投标。</w:t>
      </w:r>
    </w:p>
    <w:p w14:paraId="26027C39">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3.供应商不足3家的，不得开标。  </w:t>
      </w:r>
    </w:p>
    <w:p w14:paraId="02C59307">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开标当日采购人、采购代理机构通过“信用中国”（www.creditchina.gov.cn）、中国政府采购网（www.ccgp.gov.cn），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1CF5FFC6">
      <w:pPr>
        <w:tabs>
          <w:tab w:val="left" w:pos="9127"/>
        </w:tabs>
        <w:spacing w:line="500" w:lineRule="exact"/>
        <w:ind w:right="-53" w:rightChars="-25"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 供应商应准时参加开标会议，不能按时上传、解密者视为自动放弃投标。</w:t>
      </w:r>
    </w:p>
    <w:p w14:paraId="0591D16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 会议由山西众恒工程招标代理有限公司主持：</w:t>
      </w:r>
    </w:p>
    <w:p w14:paraId="093714ED">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6.1公布在投标截止时间前递交响应性文件的供应商名称；</w:t>
      </w:r>
    </w:p>
    <w:p w14:paraId="290CC7B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6.2供应商通过电子招标投标交易平台对已递交的电子响应性文件在规定时间内进行解密；</w:t>
      </w:r>
    </w:p>
    <w:p w14:paraId="2DAD0155">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6.3批量导入文件；</w:t>
      </w:r>
    </w:p>
    <w:p w14:paraId="783F2905">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6.4采购人代表、监督人等有关人员按具体现场系统情况在开标记录上签字确认；</w:t>
      </w:r>
    </w:p>
    <w:p w14:paraId="1052D4C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6.5开标结束。</w:t>
      </w:r>
    </w:p>
    <w:p w14:paraId="237F2C76">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6.6开标异议</w:t>
      </w:r>
    </w:p>
    <w:p w14:paraId="461BDA7D">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供应商对开标有异议的，应当在开标现场提出（</w:t>
      </w:r>
      <w:bookmarkStart w:id="18" w:name="_Toc12998"/>
      <w:r>
        <w:rPr>
          <w:rFonts w:hint="eastAsia" w:ascii="宋体" w:hAnsi="宋体" w:cs="宋体"/>
          <w:color w:val="000000" w:themeColor="text1"/>
          <w:kern w:val="0"/>
          <w:sz w:val="24"/>
          <w14:textFill>
            <w14:solidFill>
              <w14:schemeClr w14:val="tx1"/>
            </w14:solidFill>
          </w14:textFill>
        </w:rPr>
        <w:t>语音异议</w:t>
      </w:r>
      <w:bookmarkEnd w:id="18"/>
      <w:r>
        <w:rPr>
          <w:rFonts w:hint="eastAsia" w:ascii="宋体" w:hAnsi="宋体" w:cs="宋体"/>
          <w:color w:val="000000" w:themeColor="text1"/>
          <w:kern w:val="0"/>
          <w:sz w:val="24"/>
          <w14:textFill>
            <w14:solidFill>
              <w14:schemeClr w14:val="tx1"/>
            </w14:solidFill>
          </w14:textFill>
        </w:rPr>
        <w:t>、</w:t>
      </w:r>
      <w:bookmarkStart w:id="19" w:name="_Toc20745"/>
      <w:r>
        <w:rPr>
          <w:rFonts w:hint="eastAsia" w:ascii="宋体" w:hAnsi="宋体" w:cs="宋体"/>
          <w:color w:val="000000" w:themeColor="text1"/>
          <w:kern w:val="0"/>
          <w:sz w:val="24"/>
          <w14:textFill>
            <w14:solidFill>
              <w14:schemeClr w14:val="tx1"/>
            </w14:solidFill>
          </w14:textFill>
        </w:rPr>
        <w:t>文字异议</w:t>
      </w:r>
      <w:bookmarkEnd w:id="19"/>
      <w:r>
        <w:rPr>
          <w:rFonts w:hint="eastAsia" w:ascii="宋体" w:hAnsi="宋体" w:cs="宋体"/>
          <w:color w:val="000000" w:themeColor="text1"/>
          <w:kern w:val="0"/>
          <w:sz w:val="24"/>
          <w14:textFill>
            <w14:solidFill>
              <w14:schemeClr w14:val="tx1"/>
            </w14:solidFill>
          </w14:textFill>
        </w:rPr>
        <w:t>），采购人当场作出答复，并制作记录。</w:t>
      </w:r>
    </w:p>
    <w:p w14:paraId="21F64C5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6.7开标异常处理</w:t>
      </w:r>
    </w:p>
    <w:p w14:paraId="7AFFEF2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当出现以下情况时，应对未开标的项目中止电子开标，对原有资料及信息作出妥善保密处理，并在恢复正常后及时安排时间开标：</w:t>
      </w:r>
    </w:p>
    <w:p w14:paraId="0A82E986">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6.7.1 系统服务器发生故障，无法访问或无法使用系统；</w:t>
      </w:r>
    </w:p>
    <w:p w14:paraId="0C9C5D43">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6.7.2 系统的软件或数据库出现错误，不能进行正常操作；</w:t>
      </w:r>
    </w:p>
    <w:p w14:paraId="07CAA506">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6.7.3 系统发现有安全漏洞，有潜在的泄密危险；</w:t>
      </w:r>
    </w:p>
    <w:p w14:paraId="31A5EBF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6.7.4 出现断电事故且短时间内无法恢复供电；</w:t>
      </w:r>
    </w:p>
    <w:p w14:paraId="09089B8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6.7.5 其他无法保证招投标过程正常进行的情形；</w:t>
      </w:r>
    </w:p>
    <w:p w14:paraId="417C11D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6.8合格供应商不足3家的，将不再评标</w:t>
      </w:r>
    </w:p>
    <w:p w14:paraId="696958BF">
      <w:pPr>
        <w:numPr>
          <w:ilvl w:val="0"/>
          <w:numId w:val="5"/>
        </w:num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组建谈判小组</w:t>
      </w:r>
    </w:p>
    <w:p w14:paraId="531D572E">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7.1采购人根据采购项目的特点依法组建竞争性谈判小组。</w:t>
      </w:r>
    </w:p>
    <w:p w14:paraId="57D432CD">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本项目采用远程异地评标，竞争性谈判小组由采购人代表和政府采购专家库中随机抽取的评审专家共3人组成。</w:t>
      </w:r>
    </w:p>
    <w:p w14:paraId="076C23C9">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 谈判小组负责具体的评标事务，并独立履行以下职责：</w:t>
      </w:r>
    </w:p>
    <w:p w14:paraId="2DC3E345">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7.2.1审查、评价响应性文件是否符合谈判文件的实质性要求；</w:t>
      </w:r>
    </w:p>
    <w:p w14:paraId="00682DA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7.2.2要求供应商对响应性文件有关事项作出澄清或者说明；</w:t>
      </w:r>
    </w:p>
    <w:p w14:paraId="3C8D0482">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7.2.3对响应性文件进行比较和评价；</w:t>
      </w:r>
    </w:p>
    <w:p w14:paraId="12A7EC2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7.2.4推荐成交供应商名单；</w:t>
      </w:r>
    </w:p>
    <w:p w14:paraId="34F78A66">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7.2.5 向采购人、采购代理机构或者有关部门报告评标中发现的违法行为。</w:t>
      </w:r>
    </w:p>
    <w:p w14:paraId="1F63BC3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7.3评标中因谈判小组的缺席、回避或者健康等特殊原因导致谈判小组组成不符合本办法规定的，采购人或者采购代理机构应当依法补足后继续评标。被更换的谈判小组成员所作出的评标意见无效。</w:t>
      </w:r>
    </w:p>
    <w:p w14:paraId="32C7368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7.4无法及时补足谈判小组成员的，采购人或者采购代理机构应当停止评标活动，封存所有响应性文件和开标、评标资料，依法重新组建谈判小组进行评标。原谈判小组所作出的评标意见无效。</w:t>
      </w:r>
    </w:p>
    <w:p w14:paraId="4AB2CDF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7.5采购人或者采购代理机构应当将变更、重新组建谈判小组的情况予以记录，并随采购文件一并存档。</w:t>
      </w:r>
    </w:p>
    <w:p w14:paraId="073DDFE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7.6谈判小组应当对符合资格的供应商的响应性文件进行资格性审查，以确定其是否满足竞争性谈判文件的实质性要求。</w:t>
      </w:r>
    </w:p>
    <w:p w14:paraId="0B26B06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7.7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576AA007">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8.符合性审查 </w:t>
      </w:r>
    </w:p>
    <w:p w14:paraId="410223B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8.1对资格性检查合格的供应商递交的响应性文件，依据竞争性谈判文件的规定，从响应性文件的有效性、完整性和对谈判文件的响应程度，审查响应性文件是否对谈判文件的实质性要求作出了响应。</w:t>
      </w:r>
    </w:p>
    <w:p w14:paraId="4719FDD4">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8.2本次招标采用电子化评标，如“焦作市电子招投标交易平台”系统出现故障，导致无法继续评审工作的，可暂停评标，对原有资料及信息作出妥善保密处理，待电子评标系统恢复正常之后组织评审。</w:t>
      </w:r>
    </w:p>
    <w:p w14:paraId="7B2AD682">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8.3实质性响应的投标是指与谈判文件的全部条款、条件和规格相符，没有重大偏离。</w:t>
      </w:r>
    </w:p>
    <w:p w14:paraId="4BB4948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8.4重大偏离是指供应商所投标的范围、质量、服务等明显不能满足招标文件的要求，或者实质上与谈判文件不一致，而且限制了采购人的权利或投标的义务，纠正这些偏离将对其他实质性响应要求的供应商的竞争地位产生不公正的影响。重大偏离的认定须经谈判小组三分之二以上同意。</w:t>
      </w:r>
    </w:p>
    <w:p w14:paraId="6E284A7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8.5如果响应性文件实质上没有响应谈判文件的要求，将作为无效投标处理，供应商不得再对响应性文件进行任何修正从而使其投标成为实质上响应的投标。</w:t>
      </w:r>
    </w:p>
    <w:p w14:paraId="3AF120BD">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8.6竞争性谈判小组审定响应文件的响应性只根据响应文件本身的内容而不寻求外部证据。</w:t>
      </w:r>
    </w:p>
    <w:p w14:paraId="57261AC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8.7竞争性谈判小组对竞争性谈判响应文件进行审查、质疑、评估和比较。</w:t>
      </w:r>
    </w:p>
    <w:p w14:paraId="4494099B">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8.8竞争性谈判小组在竞争性谈判文件规定的时间和地点对供应商的响应性文件进行审查，竞争性谈判小组发起二轮报价，通过初步审查的供应商在规定时间内通过不见面开标系统进行二轮报价。</w:t>
      </w:r>
    </w:p>
    <w:p w14:paraId="76DB5E90">
      <w:pPr>
        <w:widowControl/>
        <w:spacing w:line="500" w:lineRule="exact"/>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投标供应商在系统进行第二轮报价时，需以附件方式上传第二轮报价表电子版(PDF格式)，未提供第二轮报价表电子版（PDF）的视为无效标处理。</w:t>
      </w:r>
    </w:p>
    <w:p w14:paraId="66A05FDF">
      <w:pPr>
        <w:widowControl/>
        <w:autoSpaceDE w:val="0"/>
        <w:autoSpaceDN w:val="0"/>
        <w:spacing w:line="360" w:lineRule="auto"/>
        <w:ind w:firstLine="482" w:firstLineChars="200"/>
        <w:rPr>
          <w:rFonts w:ascii="宋体" w:hAnsi="宋体" w:cs="宋体"/>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投标供应商的第二轮报价如高于第一轮报价，则该投标供应商的投标价以第一轮报价为准</w:t>
      </w:r>
      <w:r>
        <w:rPr>
          <w:rFonts w:hint="eastAsia" w:ascii="宋体" w:hAnsi="宋体" w:cs="宋体"/>
          <w:b/>
          <w:bCs/>
          <w:color w:val="000000" w:themeColor="text1"/>
          <w:kern w:val="0"/>
          <w:sz w:val="24"/>
          <w14:textFill>
            <w14:solidFill>
              <w14:schemeClr w14:val="tx1"/>
            </w14:solidFill>
          </w14:textFill>
        </w:rPr>
        <w:t>。</w:t>
      </w:r>
    </w:p>
    <w:p w14:paraId="5320A1A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9.根据符合采购需求报价最低，将投标报价按由低到高的顺序进行排序，推荐3名成交候选供应商。</w:t>
      </w:r>
    </w:p>
    <w:p w14:paraId="4838AF2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10.采购代理机构应当自评审结束之日起2个工作日内将评审报告送交采购人。采购人应当自收到评审报告之日起5个工作日内，在评审报告推荐的成交候选人中按顺序确定成交供应商。</w:t>
      </w:r>
    </w:p>
    <w:p w14:paraId="6E650CB4">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11.签订合同：</w:t>
      </w:r>
      <w:r>
        <w:rPr>
          <w:rFonts w:hint="eastAsia" w:ascii="宋体" w:hAnsi="宋体" w:cs="宋体"/>
          <w:color w:val="000000" w:themeColor="text1"/>
          <w:sz w:val="24"/>
          <w14:textFill>
            <w14:solidFill>
              <w14:schemeClr w14:val="tx1"/>
            </w14:solidFill>
          </w14:textFill>
        </w:rPr>
        <w:t>成交通知书发出之日起15日内， 按照竞争性谈判文件确定的事项签订政府采购合同。采购人与成交人签订政府采购合同。合同中的主要条款要与竞争性谈判文件中的合同条款一致。</w:t>
      </w:r>
    </w:p>
    <w:p w14:paraId="16198C8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12.合同签订后，采购人要在2个工作日内将采购合同在焦作市政府采购网公示并备案（签订合同时由成交人提供合同样本）；</w:t>
      </w:r>
    </w:p>
    <w:p w14:paraId="48BB6A0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13.在谈判期间，供应商不得向竞争性谈判小组成员询问其它供应商谈判情况，不得进行影响成交结果的活动。</w:t>
      </w:r>
    </w:p>
    <w:p w14:paraId="266F901C">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竞争性谈判小组将对响应文件中有关问题分别向供应商进行询问，请各供应商予以口头答复，并形成书面答复，经法定代表人或其委托代理人签署。答复文件将作为投标的组成部分。为保证成交结果的公正性，竞争性谈判小组成员不得与供应商私下接触。确定成交人前，凡与谈判情况有接触的任何人不得将谈判情况泄密。</w:t>
      </w:r>
    </w:p>
    <w:p w14:paraId="5A18DB51">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采购小组不向未成交方解释原因，不退还响应文件。</w:t>
      </w:r>
    </w:p>
    <w:p w14:paraId="73E438A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（三）采购成交原则</w:t>
      </w:r>
    </w:p>
    <w:p w14:paraId="61DACA28">
      <w:pPr>
        <w:widowControl/>
        <w:numPr>
          <w:ilvl w:val="0"/>
          <w:numId w:val="6"/>
        </w:num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成交原则和方法</w:t>
      </w:r>
    </w:p>
    <w:p w14:paraId="42DA745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 公开、公平、公正</w:t>
      </w:r>
    </w:p>
    <w:p w14:paraId="6C5897FF">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 技术可行，措施得当</w:t>
      </w:r>
    </w:p>
    <w:p w14:paraId="0B3D89F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 符合采购需求,价格低者优先成交。在价格同等情况下，依次按质量及服务、提供的优惠条件等进行排序，推荐3名成交候选供应商。</w:t>
      </w:r>
    </w:p>
    <w:p w14:paraId="0D54C97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2.竞争性谈判小组对每个参加采购单位的响应文件的实质内容进行比较。</w:t>
      </w:r>
    </w:p>
    <w:p w14:paraId="2AA7443C">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3.竞争性谈判小组将符合竞争性谈判文件规定的最终有效投标报价按由低到高顺序排序，推荐3名成交候选供应商。</w:t>
      </w:r>
    </w:p>
    <w:p w14:paraId="65CB0B0A">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采购人应当确定排名第一的成交候选人为成交人。排名第一的成交候选人放弃成交、因不可抗力不能履行合同，或者被查实存在影响成交结果的违法行为等情形，不符合成交条件的，采购人可以按照竞争性谈判小组提出的成交候选人名单排序依次确定其他成交候选人为成交人。</w:t>
      </w:r>
    </w:p>
    <w:p w14:paraId="2994EE89">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非因不可抗力因素放弃成交的，或排名第一的成交候选人未按规定期限与采购人签订合同的，根据《政府采购法实施条例》第七十二条，按照《政府采购法》第七十七条之规定：处以采购金额千分之五以上千分之十以下罚款，将其列入不良行为记录名单，在一至三年内禁止参加政府采购活动等相应处罚。同时，应赔偿采购人由此造成的损失，损失费的计算方法为该成交候选人的投标价与重新确定的成交人成交价的差额。</w:t>
      </w:r>
    </w:p>
    <w:p w14:paraId="25F555D3">
      <w:pPr>
        <w:widowControl/>
        <w:spacing w:line="360" w:lineRule="auto"/>
        <w:ind w:firstLine="480" w:firstLineChars="200"/>
        <w:rPr>
          <w:rFonts w:ascii="宋体" w:hAnsi="宋体"/>
          <w:kern w:val="0"/>
          <w:sz w:val="24"/>
        </w:rPr>
      </w:pPr>
      <w:r>
        <w:rPr>
          <w:rFonts w:hint="eastAsia" w:ascii="宋体" w:hAnsi="宋体"/>
          <w:kern w:val="0"/>
          <w:sz w:val="24"/>
        </w:rPr>
        <w:t>6.对中小型或微型企业投标的扶持：</w:t>
      </w:r>
    </w:p>
    <w:p w14:paraId="1F035D45">
      <w:pPr>
        <w:widowControl/>
        <w:spacing w:line="360" w:lineRule="auto"/>
        <w:ind w:firstLine="480" w:firstLineChars="200"/>
        <w:rPr>
          <w:rFonts w:ascii="宋体" w:hAnsi="宋体"/>
          <w:kern w:val="0"/>
          <w:sz w:val="24"/>
        </w:rPr>
      </w:pPr>
      <w:bookmarkStart w:id="20" w:name="bookmark5"/>
      <w:bookmarkEnd w:id="20"/>
      <w:r>
        <w:rPr>
          <w:rFonts w:hint="eastAsia" w:ascii="宋体" w:hAnsi="宋体"/>
          <w:kern w:val="0"/>
          <w:sz w:val="24"/>
        </w:rPr>
        <w:t>6.1 投标供应商如是中小型或是微型企业需提供：《中小企业声明函》（见格式）。</w:t>
      </w:r>
    </w:p>
    <w:p w14:paraId="50F71BA4">
      <w:pPr>
        <w:widowControl/>
        <w:spacing w:line="360" w:lineRule="auto"/>
        <w:ind w:firstLine="480" w:firstLineChars="200"/>
        <w:rPr>
          <w:rFonts w:ascii="宋体" w:hAnsi="宋体"/>
          <w:kern w:val="0"/>
          <w:sz w:val="24"/>
        </w:rPr>
      </w:pPr>
      <w:r>
        <w:rPr>
          <w:rFonts w:hint="eastAsia" w:ascii="宋体" w:hAnsi="宋体"/>
          <w:kern w:val="0"/>
          <w:sz w:val="24"/>
        </w:rPr>
        <w:t>6.2按照《政府采购促进中小企业发展管理办法》有关规定，中小企业的标准为：</w:t>
      </w:r>
    </w:p>
    <w:p w14:paraId="23F6F3ED">
      <w:pPr>
        <w:widowControl/>
        <w:spacing w:line="360" w:lineRule="auto"/>
        <w:ind w:firstLine="480" w:firstLineChars="200"/>
        <w:rPr>
          <w:rFonts w:ascii="宋体" w:hAnsi="宋体"/>
          <w:kern w:val="0"/>
          <w:sz w:val="24"/>
        </w:rPr>
      </w:pPr>
      <w:r>
        <w:rPr>
          <w:rFonts w:hint="eastAsia" w:ascii="宋体" w:hAnsi="宋体"/>
          <w:kern w:val="0"/>
          <w:sz w:val="24"/>
        </w:rPr>
        <w:t>6.2.1提供本企业制造的货物、承担的工程或者服务，或者提供其他中小企业制造的货物，不包括提供或使用大型企业注册商标的货物；</w:t>
      </w:r>
    </w:p>
    <w:p w14:paraId="31A2F378">
      <w:pPr>
        <w:widowControl/>
        <w:spacing w:line="360" w:lineRule="auto"/>
        <w:ind w:firstLine="480" w:firstLineChars="200"/>
        <w:rPr>
          <w:rFonts w:ascii="宋体" w:hAnsi="宋体"/>
          <w:kern w:val="0"/>
          <w:sz w:val="24"/>
        </w:rPr>
      </w:pPr>
      <w:r>
        <w:rPr>
          <w:rFonts w:hint="eastAsia" w:ascii="宋体" w:hAnsi="宋体"/>
          <w:kern w:val="0"/>
          <w:sz w:val="24"/>
        </w:rPr>
        <w:t>6.2.2本规定所称中小企业划分标准，是指国务院有关部门根据企业从业人员、营业收入、资产总额等指标制定的中小企业划型标准（工信部联企业[2011]300号）；</w:t>
      </w:r>
    </w:p>
    <w:p w14:paraId="7EFA0801">
      <w:pPr>
        <w:widowControl/>
        <w:spacing w:line="360" w:lineRule="auto"/>
        <w:ind w:firstLine="480" w:firstLineChars="200"/>
        <w:rPr>
          <w:rFonts w:ascii="宋体" w:hAnsi="宋体"/>
          <w:kern w:val="0"/>
          <w:sz w:val="24"/>
        </w:rPr>
      </w:pPr>
      <w:r>
        <w:rPr>
          <w:rFonts w:hint="eastAsia" w:ascii="宋体" w:hAnsi="宋体"/>
          <w:kern w:val="0"/>
          <w:sz w:val="24"/>
        </w:rPr>
        <w:t>6.2.3小型、微型企业提供有中型企业制造的货物的，视同为中型企业；小型、微型、中型企业提供有大型企业制造的货物的，视同为大型企业。</w:t>
      </w:r>
    </w:p>
    <w:p w14:paraId="463AC923">
      <w:pPr>
        <w:widowControl/>
        <w:spacing w:line="360" w:lineRule="auto"/>
        <w:ind w:firstLine="480" w:firstLineChars="200"/>
        <w:rPr>
          <w:rFonts w:ascii="宋体" w:hAnsi="宋体"/>
          <w:kern w:val="0"/>
          <w:sz w:val="24"/>
        </w:rPr>
      </w:pPr>
      <w:r>
        <w:rPr>
          <w:rFonts w:hint="eastAsia" w:ascii="宋体" w:hAnsi="宋体"/>
          <w:kern w:val="0"/>
          <w:sz w:val="24"/>
        </w:rPr>
        <w:t>6.3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38F50493">
      <w:pPr>
        <w:widowControl/>
        <w:spacing w:line="500" w:lineRule="exact"/>
        <w:ind w:firstLine="482" w:firstLineChars="200"/>
        <w:rPr>
          <w:rFonts w:hint="eastAsia" w:ascii="宋体" w:hAnsi="宋体"/>
          <w:b/>
          <w:bCs/>
          <w:kern w:val="0"/>
          <w:sz w:val="24"/>
        </w:rPr>
      </w:pPr>
      <w:r>
        <w:rPr>
          <w:rFonts w:hint="eastAsia" w:ascii="宋体" w:hAnsi="宋体"/>
          <w:b/>
          <w:bCs/>
          <w:kern w:val="0"/>
          <w:sz w:val="24"/>
        </w:rPr>
        <w:t xml:space="preserve"> 本项目全额面向中小企业采购，供应商需提供中小企业声明函。</w:t>
      </w:r>
    </w:p>
    <w:p w14:paraId="19498F60">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 xml:space="preserve">7、供应商对其提供的产品出具《关于符合本国产品标准的声明函》或财政部会同有关部门规定的有关证明文件，采购人、采购代理机构应当随中标、成交结果同时公告中标、成交供应商提供的《声明函》。        </w:t>
      </w:r>
    </w:p>
    <w:p w14:paraId="1CAE514F">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7.1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E991EFD">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7.2既有本国产品又有非本国产品参与竞争的，依法对本国产品给予价格评审优惠，对本国产品的报价给予20%的价格扣除，用扣除后的价格参与评审。</w:t>
      </w:r>
    </w:p>
    <w:p w14:paraId="6B4D1D27">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8676ECC">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 xml:space="preserve"> 8、为落实政府采购政策，本次招标强制采购的节能产品（如有）,如果需求中有节能产品则应该列明强制节能产品，并提供强制节能认证证书。</w:t>
      </w:r>
    </w:p>
    <w:p w14:paraId="32B40FE3">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投标人实施过程中产品属于现行的《节能产品政府采购品目清单》强制采购范围内的，应当在供货时提供依据国家确定的认证机构出具的、处于有效期之内的节能产品认证证书。</w:t>
      </w:r>
    </w:p>
    <w:p w14:paraId="5C86C52A">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（四）参加竞争性谈判单位的响应文件有下列情况之一的，视为无效响应文件。</w:t>
      </w:r>
    </w:p>
    <w:p w14:paraId="6520E18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未按竞争性谈判文件明示的规定签字或盖章的；</w:t>
      </w:r>
    </w:p>
    <w:p w14:paraId="21A4891E">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响应文件的关键内容（投标报价、合同履行期限、质量要求、品牌、型号等）未填写或填写字迹模糊无法辨认的；</w:t>
      </w:r>
    </w:p>
    <w:p w14:paraId="356E6DE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采购报价超出控制价的；</w:t>
      </w:r>
    </w:p>
    <w:p w14:paraId="11DF07F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 响应文件中对同一项目有两个或多个报价，且未声明哪一个有效的；</w:t>
      </w:r>
    </w:p>
    <w:p w14:paraId="1843B2CF">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 相关资格证明文件不合格的；</w:t>
      </w:r>
    </w:p>
    <w:p w14:paraId="77BA7FF4">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 响应文件中附有采购人不能接受的条件的；</w:t>
      </w:r>
    </w:p>
    <w:p w14:paraId="1E9C88B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 响应文件有明显不符合竞争性谈判文件其它要求和有关法律法规的；</w:t>
      </w:r>
    </w:p>
    <w:p w14:paraId="32C06989">
      <w:pPr>
        <w:widowControl/>
        <w:spacing w:line="50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 评标过程中，如因两</w:t>
      </w:r>
      <w:r>
        <w:rPr>
          <w:rFonts w:hint="eastAsia" w:ascii="宋体" w:hAnsi="宋体" w:eastAsia="宋体" w:cs="宋体"/>
          <w:color w:val="000000" w:themeColor="text1"/>
          <w:kern w:val="0"/>
          <w:sz w:val="24"/>
          <w14:textFill>
            <w14:solidFill>
              <w14:schemeClr w14:val="tx1"/>
            </w14:solidFill>
          </w14:textFill>
        </w:rPr>
        <w:t>个或两个以上供应商在同一台计算或同一个IP上传响应文件，而被不见面开标系统提示为“投标文件制作机器码一致”的，则视其投标无效；</w:t>
      </w:r>
    </w:p>
    <w:p w14:paraId="0F4667E3">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w:t>
      </w:r>
      <w:r>
        <w:rPr>
          <w:rFonts w:hint="eastAsia" w:ascii="宋体" w:hAnsi="宋体" w:eastAsia="宋体" w:cs="宋体"/>
          <w:color w:val="000000" w:themeColor="text1"/>
          <w:kern w:val="0"/>
          <w:sz w:val="24"/>
          <w:lang w:val="en-US" w:eastAsia="zh-CN"/>
          <w14:textFill>
            <w14:solidFill>
              <w14:schemeClr w14:val="tx1"/>
            </w14:solidFill>
          </w14:textFill>
        </w:rPr>
        <w:t xml:space="preserve">在评标过程中出现下列情形之一的，谈判小组应当启动异常低价投标（ 响应）审查程序： </w:t>
      </w:r>
    </w:p>
    <w:p w14:paraId="57428C94">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9.1.投标（响应）报价低于全部通过符合性审查供应商投标（响应）报价平均值65%的，即投标（响应）报价&lt;全部通过符合性审查供应商投标（响应）报价平均值 ×65%； </w:t>
      </w:r>
    </w:p>
    <w:p w14:paraId="72604D77">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9.2.投标（响应）报价低于通过符合性审查的次低报价供应商投标（响应）报价65%的，即投标（响应）报价&lt;通过符合性审查的次低报价供应商投标（响应）报价 ×65%； </w:t>
      </w:r>
    </w:p>
    <w:p w14:paraId="0B2E548C">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9.3.投标（响应）报价低于采购项目最高限价65%的，即投标（响应）报价&lt;采购项目最高限价×65%； </w:t>
      </w:r>
    </w:p>
    <w:p w14:paraId="53ABEF93">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9.4.谈判小组基于专业判断，认为供应商报价过低，有可能影响产品质量或者不能诚信履约的其他情形。 </w:t>
      </w:r>
    </w:p>
    <w:p w14:paraId="5E92AF7D">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谈判小组启动异常低价投标（响应）审查后，谈判小组应当要求相关供应商在评审现场合理的时间内对投标（响应）价格作出解释，提供项目具体成本测算等与报价合理性相关的书面说明及必要的证明材料，包括但不限于原材料成本、人工成本、 制造费用等，给予相关供应商的合理时间一般不少于30分钟。其中，供应商已随投标（响应）文件一并提交相关书面说明及必要的证明材料的，在评审现场可不再重复提交。 </w:t>
      </w:r>
    </w:p>
    <w:p w14:paraId="5E8E7C2F">
      <w:pPr>
        <w:widowControl/>
        <w:spacing w:line="50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谈判小组依据专业经验对报价合理性进行判断。投标（响应）供应商不能提供书面说明、证明材料，或者提供的书面说明、证明材料不能证明其报价合理性的，评审委员会应当将其作为无效投标（响应）处理。</w:t>
      </w:r>
    </w:p>
    <w:p w14:paraId="70BAAFA9">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 在评审过程中，谈判小组发现投标供应商有下列情形之一的，视为相互串通投标，按照无效投标处理并依据法律、法规追究其相关责任。具体表现形式如下：</w:t>
      </w:r>
    </w:p>
    <w:p w14:paraId="68959219">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10.1 不同供应商的响应性文件由同一单位或者个人编制；</w:t>
      </w:r>
    </w:p>
    <w:p w14:paraId="3B716311">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10.2 不同供应商委托同一单位或者个人办理投标事宜；</w:t>
      </w:r>
    </w:p>
    <w:p w14:paraId="20E6305A">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10.3 不同供应商的响应性文件载明的项目管理成员或者联系人员为同一人；</w:t>
      </w:r>
    </w:p>
    <w:p w14:paraId="703B5901">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10.4 不同供应商的响应性文件异常一致或者投标报价呈规律性差异；</w:t>
      </w:r>
    </w:p>
    <w:p w14:paraId="26A4168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10.5 不同供应商的响应性文件相互混装；</w:t>
      </w:r>
    </w:p>
    <w:p w14:paraId="40BEA68A">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10.6 有证据证明供应商与采购人、采购代理机构或者其他供应商串通的其他情形；</w:t>
      </w:r>
    </w:p>
    <w:p w14:paraId="7A9F276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（五）授予合同</w:t>
      </w:r>
    </w:p>
    <w:p w14:paraId="17C97A8A">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本合同将授予经过竞争性谈判小组确认的成交单位。</w:t>
      </w:r>
    </w:p>
    <w:p w14:paraId="37631E62">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成交人应当自成交通知书发出之日起15日内，按照竞争性谈判文件和成交人的响应文件与采购单位签订合同。</w:t>
      </w:r>
    </w:p>
    <w:p w14:paraId="023ED890">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竞争性谈判文件、成交人的竞争性谈判文件及其澄清文件等均为签订合同的依据。</w:t>
      </w:r>
    </w:p>
    <w:p w14:paraId="73551534">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 合同签订后，成交人应将合同在2个工作日内将合同在焦作市政府采购网公示并备案。</w:t>
      </w:r>
    </w:p>
    <w:p w14:paraId="5BE57199">
      <w:pPr>
        <w:pStyle w:val="12"/>
        <w:ind w:firstLine="480"/>
        <w:rPr>
          <w:rFonts w:ascii="宋体" w:hAnsi="宋体"/>
          <w:color w:val="000000" w:themeColor="text1"/>
          <w:kern w:val="0"/>
          <w:sz w:val="24"/>
          <w14:textFill>
            <w14:solidFill>
              <w14:schemeClr w14:val="tx1"/>
            </w14:solidFill>
          </w14:textFill>
        </w:rPr>
      </w:pPr>
    </w:p>
    <w:p w14:paraId="5174C871">
      <w:pPr>
        <w:pStyle w:val="23"/>
        <w:rPr>
          <w:rFonts w:ascii="宋体" w:hAnsi="宋体"/>
          <w:color w:val="000000" w:themeColor="text1"/>
          <w14:textFill>
            <w14:solidFill>
              <w14:schemeClr w14:val="tx1"/>
            </w14:solidFill>
          </w14:textFill>
        </w:rPr>
      </w:pPr>
    </w:p>
    <w:p w14:paraId="7077F4F2">
      <w:pPr>
        <w:pStyle w:val="12"/>
        <w:ind w:firstLine="480"/>
        <w:rPr>
          <w:rFonts w:ascii="宋体" w:hAnsi="宋体"/>
          <w:color w:val="000000" w:themeColor="text1"/>
          <w:kern w:val="0"/>
          <w:sz w:val="24"/>
          <w14:textFill>
            <w14:solidFill>
              <w14:schemeClr w14:val="tx1"/>
            </w14:solidFill>
          </w14:textFill>
        </w:rPr>
      </w:pPr>
    </w:p>
    <w:p w14:paraId="47662353">
      <w:pPr>
        <w:jc w:val="center"/>
        <w:rPr>
          <w:rFonts w:hint="eastAsia" w:ascii="Book Antiqua" w:hAnsi="Book Antiqua" w:eastAsia="宋体" w:cs="Times New Roman"/>
          <w:b/>
          <w:bCs/>
          <w:color w:val="000000" w:themeColor="text1"/>
          <w:kern w:val="0"/>
          <w:sz w:val="28"/>
          <w:szCs w:val="28"/>
          <w:lang w:val="en-US" w:eastAsia="zh-CN" w:bidi="ar-SA"/>
          <w14:textFill>
            <w14:solidFill>
              <w14:schemeClr w14:val="tx1"/>
            </w14:solidFill>
          </w14:textFill>
        </w:rPr>
      </w:pPr>
      <w:bookmarkStart w:id="21" w:name="_Toc9332"/>
      <w:bookmarkStart w:id="22" w:name="_Toc2540"/>
      <w:bookmarkStart w:id="23" w:name="_Toc533668870"/>
      <w:bookmarkStart w:id="24" w:name="_Toc27037"/>
      <w:r>
        <w:rPr>
          <w:rFonts w:hint="eastAsia" w:ascii="Book Antiqua" w:hAnsi="Book Antiqua" w:eastAsia="宋体" w:cs="Times New Roman"/>
          <w:b/>
          <w:bCs/>
          <w:color w:val="000000" w:themeColor="text1"/>
          <w:kern w:val="0"/>
          <w:sz w:val="28"/>
          <w:szCs w:val="28"/>
          <w:lang w:val="en-US" w:eastAsia="zh-CN" w:bidi="ar-SA"/>
          <w14:textFill>
            <w14:solidFill>
              <w14:schemeClr w14:val="tx1"/>
            </w14:solidFill>
          </w14:textFill>
        </w:rPr>
        <w:t>第三部分 其他要求</w:t>
      </w:r>
      <w:bookmarkEnd w:id="21"/>
      <w:bookmarkEnd w:id="22"/>
      <w:bookmarkEnd w:id="23"/>
      <w:bookmarkEnd w:id="24"/>
    </w:p>
    <w:p w14:paraId="77BD34DC">
      <w:pPr>
        <w:rPr>
          <w:color w:val="000000" w:themeColor="text1"/>
          <w14:textFill>
            <w14:solidFill>
              <w14:schemeClr w14:val="tx1"/>
            </w14:solidFill>
          </w14:textFill>
        </w:rPr>
      </w:pPr>
    </w:p>
    <w:p w14:paraId="13A0E40A">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供应商如有不清楚的地方可与采购人和代理机构联系。采购报价应包含所有费用。成交人在成交后不得以任何理由增加任何费用。</w:t>
      </w:r>
    </w:p>
    <w:p w14:paraId="396C439E">
      <w:pPr>
        <w:rPr>
          <w:color w:val="000000" w:themeColor="text1"/>
          <w14:textFill>
            <w14:solidFill>
              <w14:schemeClr w14:val="tx1"/>
            </w14:solidFill>
          </w14:textFill>
        </w:rPr>
      </w:pPr>
    </w:p>
    <w:p w14:paraId="147DD9FB">
      <w:pPr>
        <w:rPr>
          <w:color w:val="000000" w:themeColor="text1"/>
          <w14:textFill>
            <w14:solidFill>
              <w14:schemeClr w14:val="tx1"/>
            </w14:solidFill>
          </w14:textFill>
        </w:rPr>
      </w:pPr>
    </w:p>
    <w:p w14:paraId="2F4318B2">
      <w:pPr>
        <w:pStyle w:val="12"/>
        <w:ind w:firstLine="420"/>
        <w:rPr>
          <w:color w:val="000000" w:themeColor="text1"/>
          <w14:textFill>
            <w14:solidFill>
              <w14:schemeClr w14:val="tx1"/>
            </w14:solidFill>
          </w14:textFill>
        </w:rPr>
      </w:pPr>
    </w:p>
    <w:p w14:paraId="78EA1042">
      <w:pPr>
        <w:pStyle w:val="23"/>
        <w:rPr>
          <w:color w:val="000000" w:themeColor="text1"/>
          <w14:textFill>
            <w14:solidFill>
              <w14:schemeClr w14:val="tx1"/>
            </w14:solidFill>
          </w14:textFill>
        </w:rPr>
      </w:pPr>
    </w:p>
    <w:p w14:paraId="464D55F8">
      <w:pPr>
        <w:rPr>
          <w:color w:val="000000" w:themeColor="text1"/>
          <w14:textFill>
            <w14:solidFill>
              <w14:schemeClr w14:val="tx1"/>
            </w14:solidFill>
          </w14:textFill>
        </w:rPr>
      </w:pPr>
    </w:p>
    <w:p w14:paraId="532B6654">
      <w:pPr>
        <w:pStyle w:val="3"/>
        <w:spacing w:before="0" w:after="0" w:line="360" w:lineRule="auto"/>
        <w:ind w:left="439" w:leftChars="209" w:firstLine="7509" w:firstLineChars="17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43BB7289">
      <w:pPr>
        <w:pStyle w:val="3"/>
        <w:spacing w:before="0" w:after="0" w:line="360" w:lineRule="auto"/>
        <w:jc w:val="center"/>
        <w:rPr>
          <w:color w:val="000000" w:themeColor="text1"/>
          <w:kern w:val="0"/>
          <w:sz w:val="28"/>
          <w:szCs w:val="28"/>
          <w14:textFill>
            <w14:solidFill>
              <w14:schemeClr w14:val="tx1"/>
            </w14:solidFill>
          </w14:textFill>
        </w:rPr>
      </w:pPr>
      <w:r>
        <w:rPr>
          <w:rFonts w:hint="eastAsia"/>
          <w:color w:val="000000" w:themeColor="text1"/>
          <w14:textFill>
            <w14:solidFill>
              <w14:schemeClr w14:val="tx1"/>
            </w14:solidFill>
          </w14:textFill>
        </w:rPr>
        <w:br w:type="page"/>
      </w:r>
      <w:bookmarkStart w:id="25" w:name="_Toc11753"/>
      <w:r>
        <w:rPr>
          <w:rFonts w:hint="eastAsia"/>
          <w:color w:val="000000" w:themeColor="text1"/>
          <w:kern w:val="0"/>
          <w:sz w:val="28"/>
          <w:szCs w:val="28"/>
          <w14:textFill>
            <w14:solidFill>
              <w14:schemeClr w14:val="tx1"/>
            </w14:solidFill>
          </w14:textFill>
        </w:rPr>
        <w:t>第四部分 质疑与投诉</w:t>
      </w:r>
      <w:bookmarkEnd w:id="25"/>
    </w:p>
    <w:p w14:paraId="59C2154D">
      <w:pPr>
        <w:rPr>
          <w:color w:val="000000" w:themeColor="text1"/>
          <w14:textFill>
            <w14:solidFill>
              <w14:schemeClr w14:val="tx1"/>
            </w14:solidFill>
          </w14:textFill>
        </w:rPr>
      </w:pPr>
    </w:p>
    <w:p w14:paraId="3C887A7B">
      <w:pPr>
        <w:spacing w:line="520" w:lineRule="exac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一、质疑与答复</w:t>
      </w:r>
    </w:p>
    <w:p w14:paraId="3697FFD3">
      <w:pPr>
        <w:pStyle w:val="27"/>
        <w:spacing w:after="0"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3C3E665E">
      <w:pPr>
        <w:pStyle w:val="28"/>
        <w:spacing w:after="0" w:line="520" w:lineRule="exact"/>
        <w:ind w:left="0" w:leftChars="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供应商提出质疑应当提交质疑函和必要的证明材料。政府采购供应商质疑函范本下载地址：</w:t>
      </w:r>
    </w:p>
    <w:p w14:paraId="513004EE">
      <w:pPr>
        <w:pStyle w:val="28"/>
        <w:spacing w:after="0" w:line="520" w:lineRule="exact"/>
        <w:ind w:firstLine="0" w:firstLineChars="0"/>
        <w:rPr>
          <w:rFonts w:ascii="宋体" w:hAnsi="宋体" w:cs="宋体"/>
          <w:color w:val="000000" w:themeColor="text1"/>
          <w:sz w:val="24"/>
          <w14:textFill>
            <w14:solidFill>
              <w14:schemeClr w14:val="tx1"/>
            </w14:solidFill>
          </w14:textFill>
        </w:rPr>
      </w:pPr>
      <w:r>
        <w:fldChar w:fldCharType="begin"/>
      </w:r>
      <w:r>
        <w:instrText xml:space="preserve"> HYPERLINK "http://download.ccgp.gov.cn/2018/zhiyihanfanben.zip；" </w:instrText>
      </w:r>
      <w:r>
        <w:fldChar w:fldCharType="separate"/>
      </w:r>
      <w:r>
        <w:rPr>
          <w:rStyle w:val="39"/>
          <w:rFonts w:hint="eastAsia" w:ascii="宋体" w:hAnsi="宋体" w:cs="宋体"/>
          <w:color w:val="000000" w:themeColor="text1"/>
          <w:sz w:val="24"/>
          <w14:textFill>
            <w14:solidFill>
              <w14:schemeClr w14:val="tx1"/>
            </w14:solidFill>
          </w14:textFill>
        </w:rPr>
        <w:t>http://download.ccgp.gov.cn/2018/zhiyihanfanben.zip；</w:t>
      </w:r>
      <w:r>
        <w:rPr>
          <w:rStyle w:val="39"/>
          <w:rFonts w:hint="eastAsia" w:ascii="宋体" w:hAnsi="宋体" w:cs="宋体"/>
          <w:color w:val="000000" w:themeColor="text1"/>
          <w:sz w:val="24"/>
          <w14:textFill>
            <w14:solidFill>
              <w14:schemeClr w14:val="tx1"/>
            </w14:solidFill>
          </w14:textFill>
        </w:rPr>
        <w:fldChar w:fldCharType="end"/>
      </w:r>
    </w:p>
    <w:p w14:paraId="2644FCE6">
      <w:pPr>
        <w:numPr>
          <w:ilvl w:val="0"/>
          <w:numId w:val="6"/>
        </w:num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采购人、采购代理机构不得拒收质疑供应商在法定质疑期内发出的质疑函，应当在收到质疑函后7个工作日内作出答复，并以书面形式通知质疑供应商和其他有关供应商。</w:t>
      </w:r>
    </w:p>
    <w:p w14:paraId="7749DAB2">
      <w:pPr>
        <w:numPr>
          <w:ilvl w:val="0"/>
          <w:numId w:val="6"/>
        </w:num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供应商提出质疑应当提交质疑函和必要的证明材料。质疑函应当包括下列内容：</w:t>
      </w:r>
    </w:p>
    <w:p w14:paraId="5A85B08E">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供应商的姓名或者名称、地址、邮编、联系人及联系电话；</w:t>
      </w:r>
    </w:p>
    <w:p w14:paraId="1E845F8E">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质疑项目的名称、编号；</w:t>
      </w:r>
    </w:p>
    <w:p w14:paraId="25065B0D">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具体、明确的质疑事项和与质疑事项相关的请求；</w:t>
      </w:r>
    </w:p>
    <w:p w14:paraId="15DE2530">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事实依据；</w:t>
      </w:r>
    </w:p>
    <w:p w14:paraId="73966D9E">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必要的法律依据；</w:t>
      </w:r>
    </w:p>
    <w:p w14:paraId="5E88794D">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提出质疑的日期；</w:t>
      </w:r>
    </w:p>
    <w:p w14:paraId="63DC7118">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获取招标文件的凭证；</w:t>
      </w:r>
    </w:p>
    <w:p w14:paraId="33B6663D">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以上资料一式二份（招标人、采购代理机构各执一份）。</w:t>
      </w:r>
    </w:p>
    <w:p w14:paraId="2C7765A0">
      <w:pPr>
        <w:numPr>
          <w:ilvl w:val="0"/>
          <w:numId w:val="6"/>
        </w:num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供应商不得虚假质疑和恶意质疑，并对质疑内容的真实性承担责任。</w:t>
      </w:r>
    </w:p>
    <w:p w14:paraId="2AD8D9E9">
      <w:pPr>
        <w:spacing w:line="520" w:lineRule="exac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二、投诉与处理</w:t>
      </w:r>
    </w:p>
    <w:p w14:paraId="6E291357">
      <w:pPr>
        <w:pStyle w:val="27"/>
        <w:spacing w:after="0"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1、质疑供应商对采购人、采购代理机构的答复不满意，或者采购人、采购代理机构未在规定时间内作出答复的，可以在答复期满后15个工作日内向本办法第六条规定的财政部门提起投诉。</w:t>
      </w:r>
    </w:p>
    <w:p w14:paraId="7CCD0ED1">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2、质疑供应商对采购人、采购代理机构的答复不满意，或者采购人、采购代理机构未在规定时间内作出答复的，可以在答复期满后15个工作日内向财政部门提起投诉。</w:t>
      </w:r>
    </w:p>
    <w:p w14:paraId="74265839">
      <w:pPr>
        <w:pStyle w:val="27"/>
        <w:spacing w:after="0"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3、投诉人投诉时,应当提交投诉书和必要的证明材料，并按照被投诉采购人、采购代理机构（以下简称被投诉人）和与投诉事项有关的供应商数量提供投诉书的副本。政府采购供应商投诉书范本下载地址：</w:t>
      </w:r>
    </w:p>
    <w:p w14:paraId="68018E57">
      <w:pPr>
        <w:pStyle w:val="27"/>
        <w:spacing w:after="0" w:line="520" w:lineRule="exact"/>
        <w:ind w:firstLineChars="200"/>
        <w:rPr>
          <w:rFonts w:ascii="宋体" w:hAnsi="宋体" w:cs="宋体"/>
          <w:color w:val="000000" w:themeColor="text1"/>
          <w:sz w:val="24"/>
          <w14:textFill>
            <w14:solidFill>
              <w14:schemeClr w14:val="tx1"/>
            </w14:solidFill>
          </w14:textFill>
        </w:rPr>
      </w:pPr>
      <w:r>
        <w:fldChar w:fldCharType="begin"/>
      </w:r>
      <w:r>
        <w:instrText xml:space="preserve"> HYPERLINK "http://download.ccgp.gov.cn/2018/tousushufanben.zip" </w:instrText>
      </w:r>
      <w:r>
        <w:fldChar w:fldCharType="separate"/>
      </w:r>
      <w:r>
        <w:rPr>
          <w:rStyle w:val="39"/>
          <w:rFonts w:hint="eastAsia" w:ascii="宋体" w:hAnsi="宋体" w:cs="宋体"/>
          <w:color w:val="000000" w:themeColor="text1"/>
          <w:sz w:val="24"/>
          <w14:textFill>
            <w14:solidFill>
              <w14:schemeClr w14:val="tx1"/>
            </w14:solidFill>
          </w14:textFill>
        </w:rPr>
        <w:t>http://download.ccgp.gov.cn/2018/tousushufanben.zip</w:t>
      </w:r>
      <w:r>
        <w:rPr>
          <w:rStyle w:val="39"/>
          <w:rFonts w:hint="eastAsia" w:ascii="宋体" w:hAnsi="宋体" w:cs="宋体"/>
          <w:color w:val="000000" w:themeColor="text1"/>
          <w:sz w:val="24"/>
          <w14:textFill>
            <w14:solidFill>
              <w14:schemeClr w14:val="tx1"/>
            </w14:solidFill>
          </w14:textFill>
        </w:rPr>
        <w:fldChar w:fldCharType="end"/>
      </w:r>
    </w:p>
    <w:p w14:paraId="48578D17">
      <w:pPr>
        <w:numPr>
          <w:ilvl w:val="0"/>
          <w:numId w:val="1"/>
        </w:num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财政部门自收到投诉之日起30个工作日内，对投诉事项作出处理决定并公示。</w:t>
      </w:r>
    </w:p>
    <w:p w14:paraId="5BBCA445">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投诉人在全国范围12个月内三次以上投诉查无实据的，由财政部门列入不良行为记录名单。</w:t>
      </w:r>
    </w:p>
    <w:p w14:paraId="2E06C208">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投诉人有财政部94号令第三十七条情形的，属于虚假、恶意投诉，由财政部门列入不良行为记录名单，禁止其1至3年内参加政府采购活动。投诉联系电话：0391-8683273  地址：博爱县机关综合办公楼主楼1213室 </w:t>
      </w:r>
      <w:bookmarkStart w:id="26" w:name="_Toc533668873"/>
      <w:bookmarkStart w:id="27" w:name="_Toc28662"/>
      <w:bookmarkStart w:id="28" w:name="_Toc4037"/>
    </w:p>
    <w:p w14:paraId="16BAE9B5">
      <w:pPr>
        <w:pStyle w:val="3"/>
        <w:spacing w:before="0" w:after="0" w:line="520" w:lineRule="exact"/>
        <w:rPr>
          <w:color w:val="000000" w:themeColor="text1"/>
          <w14:textFill>
            <w14:solidFill>
              <w14:schemeClr w14:val="tx1"/>
            </w14:solidFill>
          </w14:textFill>
        </w:rPr>
      </w:pPr>
    </w:p>
    <w:p w14:paraId="4885E9D3">
      <w:pPr>
        <w:spacing w:line="520" w:lineRule="exact"/>
        <w:rPr>
          <w:color w:val="000000" w:themeColor="text1"/>
          <w14:textFill>
            <w14:solidFill>
              <w14:schemeClr w14:val="tx1"/>
            </w14:solidFill>
          </w14:textFill>
        </w:rPr>
      </w:pPr>
    </w:p>
    <w:p w14:paraId="0E993166">
      <w:pPr>
        <w:pStyle w:val="4"/>
        <w:rPr>
          <w:color w:val="000000" w:themeColor="text1"/>
          <w14:textFill>
            <w14:solidFill>
              <w14:schemeClr w14:val="tx1"/>
            </w14:solidFill>
          </w14:textFill>
        </w:rPr>
      </w:pPr>
    </w:p>
    <w:p w14:paraId="411D4DAB">
      <w:pPr>
        <w:rPr>
          <w:color w:val="000000" w:themeColor="text1"/>
          <w14:textFill>
            <w14:solidFill>
              <w14:schemeClr w14:val="tx1"/>
            </w14:solidFill>
          </w14:textFill>
        </w:rPr>
      </w:pPr>
    </w:p>
    <w:p w14:paraId="57F8F643">
      <w:pPr>
        <w:rPr>
          <w:color w:val="000000" w:themeColor="text1"/>
          <w14:textFill>
            <w14:solidFill>
              <w14:schemeClr w14:val="tx1"/>
            </w14:solidFill>
          </w14:textFill>
        </w:rPr>
      </w:pPr>
    </w:p>
    <w:p w14:paraId="11D34C9B">
      <w:pPr>
        <w:rPr>
          <w:color w:val="000000" w:themeColor="text1"/>
          <w14:textFill>
            <w14:solidFill>
              <w14:schemeClr w14:val="tx1"/>
            </w14:solidFill>
          </w14:textFill>
        </w:rPr>
      </w:pPr>
    </w:p>
    <w:p w14:paraId="0F235F48">
      <w:pPr>
        <w:rPr>
          <w:color w:val="000000" w:themeColor="text1"/>
          <w14:textFill>
            <w14:solidFill>
              <w14:schemeClr w14:val="tx1"/>
            </w14:solidFill>
          </w14:textFill>
        </w:rPr>
      </w:pPr>
    </w:p>
    <w:p w14:paraId="6AF5AFCF">
      <w:pPr>
        <w:rPr>
          <w:color w:val="000000" w:themeColor="text1"/>
          <w14:textFill>
            <w14:solidFill>
              <w14:schemeClr w14:val="tx1"/>
            </w14:solidFill>
          </w14:textFill>
        </w:rPr>
      </w:pPr>
    </w:p>
    <w:p w14:paraId="1AFDDEBF">
      <w:pPr>
        <w:rPr>
          <w:color w:val="000000" w:themeColor="text1"/>
          <w14:textFill>
            <w14:solidFill>
              <w14:schemeClr w14:val="tx1"/>
            </w14:solidFill>
          </w14:textFill>
        </w:rPr>
      </w:pPr>
    </w:p>
    <w:p w14:paraId="25A6AAF2">
      <w:pPr>
        <w:pStyle w:val="3"/>
        <w:spacing w:before="0" w:after="0" w:line="360" w:lineRule="auto"/>
        <w:ind w:left="2310"/>
        <w:rPr>
          <w:color w:val="000000" w:themeColor="text1"/>
          <w14:textFill>
            <w14:solidFill>
              <w14:schemeClr w14:val="tx1"/>
            </w14:solidFill>
          </w14:textFill>
        </w:rPr>
      </w:pPr>
    </w:p>
    <w:p w14:paraId="46B3B30D">
      <w:pPr>
        <w:rPr>
          <w:color w:val="000000" w:themeColor="text1"/>
          <w14:textFill>
            <w14:solidFill>
              <w14:schemeClr w14:val="tx1"/>
            </w14:solidFill>
          </w14:textFill>
        </w:rPr>
      </w:pPr>
    </w:p>
    <w:p w14:paraId="2948A44F">
      <w:pPr>
        <w:pStyle w:val="12"/>
        <w:ind w:firstLine="420"/>
        <w:rPr>
          <w:color w:val="000000" w:themeColor="text1"/>
          <w14:textFill>
            <w14:solidFill>
              <w14:schemeClr w14:val="tx1"/>
            </w14:solidFill>
          </w14:textFill>
        </w:rPr>
      </w:pPr>
    </w:p>
    <w:p w14:paraId="6026408D">
      <w:pPr>
        <w:pStyle w:val="3"/>
        <w:spacing w:before="0" w:after="0" w:line="360" w:lineRule="auto"/>
        <w:jc w:val="center"/>
        <w:rPr>
          <w:color w:val="000000" w:themeColor="text1"/>
          <w:kern w:val="0"/>
          <w:sz w:val="28"/>
          <w:szCs w:val="28"/>
          <w14:textFill>
            <w14:solidFill>
              <w14:schemeClr w14:val="tx1"/>
            </w14:solidFill>
          </w14:textFill>
        </w:rPr>
        <w:sectPr>
          <w:footerReference r:id="rId6" w:type="default"/>
          <w:pgSz w:w="11905" w:h="16838"/>
          <w:pgMar w:top="1213" w:right="1463" w:bottom="1213" w:left="1463" w:header="567" w:footer="998" w:gutter="0"/>
          <w:pgNumType w:start="1"/>
          <w:cols w:space="0" w:num="1"/>
          <w:docGrid w:type="lines" w:linePitch="389" w:charSpace="0"/>
        </w:sectPr>
      </w:pPr>
      <w:bookmarkStart w:id="29" w:name="_Toc2271"/>
    </w:p>
    <w:bookmarkEnd w:id="26"/>
    <w:bookmarkEnd w:id="27"/>
    <w:bookmarkEnd w:id="28"/>
    <w:bookmarkEnd w:id="29"/>
    <w:p w14:paraId="0C4AB375">
      <w:pPr>
        <w:pStyle w:val="11"/>
        <w:jc w:val="center"/>
        <w:outlineLvl w:val="0"/>
        <w:rPr>
          <w:rFonts w:ascii="Book Antiqua" w:hAnsi="Book Antiqua"/>
          <w:b/>
          <w:bCs/>
          <w:color w:val="000000" w:themeColor="text1"/>
          <w:kern w:val="0"/>
          <w:sz w:val="28"/>
          <w:szCs w:val="28"/>
          <w14:textFill>
            <w14:solidFill>
              <w14:schemeClr w14:val="tx1"/>
            </w14:solidFill>
          </w14:textFill>
        </w:rPr>
      </w:pPr>
      <w:bookmarkStart w:id="30" w:name="_Toc6692"/>
      <w:bookmarkStart w:id="31" w:name="_Toc27476"/>
      <w:r>
        <w:rPr>
          <w:rFonts w:hint="eastAsia" w:ascii="Book Antiqua" w:hAnsi="Book Antiqua"/>
          <w:b/>
          <w:bCs/>
          <w:color w:val="000000" w:themeColor="text1"/>
          <w:kern w:val="0"/>
          <w:sz w:val="28"/>
          <w:szCs w:val="28"/>
          <w14:textFill>
            <w14:solidFill>
              <w14:schemeClr w14:val="tx1"/>
            </w14:solidFill>
          </w14:textFill>
        </w:rPr>
        <w:t>第五部分  采购内容及技术要求</w:t>
      </w:r>
      <w:bookmarkEnd w:id="30"/>
    </w:p>
    <w:p w14:paraId="28A7D696">
      <w:pPr>
        <w:pStyle w:val="12"/>
        <w:spacing w:line="275" w:lineRule="auto"/>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一、项目概况</w:t>
      </w:r>
    </w:p>
    <w:p w14:paraId="67F8B1F9">
      <w:pPr>
        <w:keepNext w:val="0"/>
        <w:keepLines w:val="0"/>
        <w:pageBreakBefore w:val="0"/>
        <w:widowControl w:val="0"/>
        <w:kinsoku/>
        <w:wordWrap/>
        <w:overflowPunct/>
        <w:topLinePunct w:val="0"/>
        <w:autoSpaceDE/>
        <w:autoSpaceDN/>
        <w:bidi w:val="0"/>
        <w:adjustRightInd/>
        <w:snapToGrid/>
        <w:spacing w:line="360" w:lineRule="auto"/>
        <w:ind w:left="0" w:right="0" w:firstLine="424" w:firstLineChars="200"/>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项目名称：</w:t>
      </w:r>
      <w:r>
        <w:rPr>
          <w:rFonts w:hint="eastAsia" w:ascii="宋体" w:hAnsi="宋体" w:cs="宋体"/>
          <w:color w:val="000000" w:themeColor="text1"/>
          <w:kern w:val="0"/>
          <w:sz w:val="24"/>
          <w:lang w:eastAsia="zh-CN"/>
          <w14:textFill>
            <w14:solidFill>
              <w14:schemeClr w14:val="tx1"/>
            </w14:solidFill>
          </w14:textFill>
        </w:rPr>
        <w:t>博爱县民政局殡仪馆火化炉（含尾气处理设备）采购项目</w:t>
      </w:r>
    </w:p>
    <w:p w14:paraId="5D1DD59E">
      <w:pPr>
        <w:keepNext w:val="0"/>
        <w:keepLines w:val="0"/>
        <w:pageBreakBefore w:val="0"/>
        <w:widowControl w:val="0"/>
        <w:kinsoku/>
        <w:wordWrap/>
        <w:overflowPunct/>
        <w:topLinePunct w:val="0"/>
        <w:autoSpaceDE/>
        <w:autoSpaceDN/>
        <w:bidi w:val="0"/>
        <w:adjustRightInd/>
        <w:snapToGrid/>
        <w:spacing w:line="360" w:lineRule="auto"/>
        <w:ind w:left="0" w:right="0" w:firstLine="424"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pacing w:val="-14"/>
          <w:sz w:val="24"/>
          <w:szCs w:val="24"/>
          <w:lang w:val="en-US" w:eastAsia="zh-CN"/>
        </w:rPr>
        <w:t>采购内容：</w:t>
      </w:r>
      <w:r>
        <w:rPr>
          <w:rFonts w:hint="eastAsia" w:ascii="宋体" w:hAnsi="宋体" w:cs="宋体"/>
          <w:color w:val="000000" w:themeColor="text1"/>
          <w:kern w:val="0"/>
          <w:sz w:val="24"/>
          <w:lang w:val="en-US" w:eastAsia="zh-CN"/>
          <w14:textFill>
            <w14:solidFill>
              <w14:schemeClr w14:val="tx1"/>
            </w14:solidFill>
          </w14:textFill>
        </w:rPr>
        <w:t>为保障群众基本殡葬服务需求，确保殡仪馆火化业务安全有序开展，采购殡仪馆火化炉（含尾气处理设备）1台。</w:t>
      </w:r>
    </w:p>
    <w:p w14:paraId="4B9C8C1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sz w:val="24"/>
          <w:szCs w:val="24"/>
          <w:highlight w:val="none"/>
          <w:lang w:val="en-US" w:eastAsia="zh-CN"/>
        </w:rPr>
        <w:t>质量标准：合格，符合国家及行业规范标准。</w:t>
      </w:r>
    </w:p>
    <w:p w14:paraId="355206F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合同履行期限：</w:t>
      </w:r>
      <w:r>
        <w:rPr>
          <w:rFonts w:hint="eastAsia" w:ascii="宋体" w:hAnsi="宋体" w:cs="宋体"/>
          <w:color w:val="000000" w:themeColor="text1"/>
          <w:kern w:val="0"/>
          <w:sz w:val="24"/>
          <w:lang w:val="en-US" w:eastAsia="zh-CN"/>
          <w14:textFill>
            <w14:solidFill>
              <w14:schemeClr w14:val="tx1"/>
            </w14:solidFill>
          </w14:textFill>
        </w:rPr>
        <w:t>60日历天。</w:t>
      </w:r>
    </w:p>
    <w:p w14:paraId="5FADBE61">
      <w:pPr>
        <w:pStyle w:val="12"/>
        <w:spacing w:line="275" w:lineRule="auto"/>
        <w:rPr>
          <w:rFonts w:hint="eastAsia" w:ascii="宋体" w:hAnsi="宋体" w:eastAsia="宋体" w:cs="宋体"/>
          <w:b/>
          <w:bCs/>
          <w:spacing w:val="-4"/>
          <w:sz w:val="24"/>
          <w:szCs w:val="24"/>
          <w:lang w:val="en-US" w:eastAsia="zh-CN"/>
        </w:rPr>
      </w:pPr>
      <w:bookmarkStart w:id="32" w:name="_Toc27657"/>
      <w:r>
        <w:rPr>
          <w:rFonts w:hint="eastAsia" w:ascii="宋体" w:hAnsi="宋体" w:eastAsia="宋体" w:cs="宋体"/>
          <w:b/>
          <w:bCs/>
          <w:spacing w:val="-4"/>
          <w:sz w:val="24"/>
          <w:szCs w:val="24"/>
          <w:lang w:val="en-US" w:eastAsia="zh-CN"/>
        </w:rPr>
        <w:t>二、设备技术参数</w:t>
      </w:r>
      <w:bookmarkEnd w:id="32"/>
    </w:p>
    <w:p w14:paraId="18F4AD3E">
      <w:pPr>
        <w:rPr>
          <w:rFonts w:hint="eastAsia"/>
          <w:color w:val="auto"/>
          <w:lang w:val="en-US" w:eastAsia="zh-CN"/>
        </w:rPr>
      </w:pPr>
    </w:p>
    <w:tbl>
      <w:tblPr>
        <w:tblStyle w:val="29"/>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57"/>
        <w:gridCol w:w="541"/>
        <w:gridCol w:w="1049"/>
        <w:gridCol w:w="6004"/>
        <w:gridCol w:w="456"/>
        <w:gridCol w:w="6"/>
        <w:gridCol w:w="456"/>
      </w:tblGrid>
      <w:tr w14:paraId="4AB0060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37" w:hRule="atLeast"/>
          <w:jc w:val="center"/>
        </w:trPr>
        <w:tc>
          <w:tcPr>
            <w:tcW w:w="457" w:type="dxa"/>
            <w:tcBorders>
              <w:bottom w:val="single" w:color="000000" w:sz="4" w:space="0"/>
              <w:right w:val="single" w:color="000000" w:sz="4" w:space="0"/>
            </w:tcBorders>
            <w:noWrap w:val="0"/>
            <w:vAlign w:val="center"/>
          </w:tcPr>
          <w:p w14:paraId="4B9E236D">
            <w:pPr>
              <w:widowControl/>
              <w:spacing w:line="42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序号</w:t>
            </w:r>
          </w:p>
        </w:tc>
        <w:tc>
          <w:tcPr>
            <w:tcW w:w="1590" w:type="dxa"/>
            <w:gridSpan w:val="2"/>
            <w:tcBorders>
              <w:left w:val="single" w:color="000000" w:sz="4" w:space="0"/>
              <w:bottom w:val="single" w:color="000000" w:sz="4" w:space="0"/>
              <w:right w:val="single" w:color="000000" w:sz="4" w:space="0"/>
            </w:tcBorders>
            <w:noWrap w:val="0"/>
            <w:vAlign w:val="center"/>
          </w:tcPr>
          <w:p w14:paraId="48D96D31">
            <w:pPr>
              <w:widowControl/>
              <w:spacing w:line="42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项目</w:t>
            </w:r>
          </w:p>
        </w:tc>
        <w:tc>
          <w:tcPr>
            <w:tcW w:w="6004" w:type="dxa"/>
            <w:tcBorders>
              <w:left w:val="single" w:color="000000" w:sz="4" w:space="0"/>
              <w:bottom w:val="single" w:color="000000" w:sz="4" w:space="0"/>
              <w:right w:val="single" w:color="000000" w:sz="4" w:space="0"/>
            </w:tcBorders>
            <w:noWrap w:val="0"/>
            <w:vAlign w:val="center"/>
          </w:tcPr>
          <w:p w14:paraId="7AF71F50">
            <w:pPr>
              <w:spacing w:line="4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性能要求</w:t>
            </w:r>
          </w:p>
        </w:tc>
        <w:tc>
          <w:tcPr>
            <w:tcW w:w="456" w:type="dxa"/>
            <w:tcBorders>
              <w:left w:val="single" w:color="000000" w:sz="4" w:space="0"/>
              <w:bottom w:val="single" w:color="auto" w:sz="4" w:space="0"/>
              <w:right w:val="single" w:color="000000" w:sz="4" w:space="0"/>
            </w:tcBorders>
            <w:shd w:val="clear" w:color="auto" w:fill="auto"/>
            <w:noWrap w:val="0"/>
            <w:vAlign w:val="center"/>
          </w:tcPr>
          <w:p w14:paraId="3A6AA05E">
            <w:pPr>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单位</w:t>
            </w:r>
          </w:p>
        </w:tc>
        <w:tc>
          <w:tcPr>
            <w:tcW w:w="462" w:type="dxa"/>
            <w:gridSpan w:val="2"/>
            <w:tcBorders>
              <w:left w:val="single" w:color="000000" w:sz="4" w:space="0"/>
              <w:bottom w:val="single" w:color="auto" w:sz="4" w:space="0"/>
            </w:tcBorders>
            <w:shd w:val="clear" w:color="auto" w:fill="auto"/>
            <w:noWrap w:val="0"/>
            <w:vAlign w:val="center"/>
          </w:tcPr>
          <w:p w14:paraId="232E08F6">
            <w:pPr>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数量</w:t>
            </w:r>
          </w:p>
        </w:tc>
      </w:tr>
      <w:tr w14:paraId="0CE438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77" w:hRule="atLeast"/>
          <w:jc w:val="center"/>
        </w:trPr>
        <w:tc>
          <w:tcPr>
            <w:tcW w:w="457" w:type="dxa"/>
            <w:vMerge w:val="restart"/>
            <w:tcBorders>
              <w:top w:val="single" w:color="000000" w:sz="4" w:space="0"/>
              <w:right w:val="single" w:color="000000" w:sz="4" w:space="0"/>
            </w:tcBorders>
            <w:noWrap w:val="0"/>
            <w:vAlign w:val="center"/>
          </w:tcPr>
          <w:p w14:paraId="2E0E7BB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541" w:type="dxa"/>
            <w:vMerge w:val="restart"/>
            <w:tcBorders>
              <w:top w:val="single" w:color="000000" w:sz="4" w:space="0"/>
              <w:left w:val="single" w:color="000000" w:sz="4" w:space="0"/>
              <w:right w:val="single" w:color="000000" w:sz="4" w:space="0"/>
            </w:tcBorders>
            <w:noWrap w:val="0"/>
            <w:vAlign w:val="center"/>
          </w:tcPr>
          <w:p w14:paraId="0080778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平板火化炉</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DE2454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设备主体外形及尺寸</w:t>
            </w:r>
          </w:p>
        </w:tc>
        <w:tc>
          <w:tcPr>
            <w:tcW w:w="6004" w:type="dxa"/>
            <w:tcBorders>
              <w:top w:val="single" w:color="000000" w:sz="4" w:space="0"/>
              <w:left w:val="single" w:color="000000" w:sz="4" w:space="0"/>
              <w:bottom w:val="single" w:color="000000" w:sz="4" w:space="0"/>
              <w:right w:val="single" w:color="auto" w:sz="4" w:space="0"/>
            </w:tcBorders>
            <w:noWrap w:val="0"/>
            <w:vAlign w:val="center"/>
          </w:tcPr>
          <w:p w14:paraId="16DD133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eastAsia="en-US" w:bidi="ar-SA"/>
              </w:rPr>
              <w:t>1、</w:t>
            </w:r>
            <w:r>
              <w:rPr>
                <w:rFonts w:hint="eastAsia" w:ascii="宋体" w:hAnsi="宋体" w:eastAsia="宋体" w:cs="宋体"/>
                <w:color w:val="auto"/>
                <w:sz w:val="24"/>
                <w:szCs w:val="24"/>
              </w:rPr>
              <w:t>炉体外形尺寸：L3500mm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W2250mm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H3150mm（±5%)。</w:t>
            </w:r>
          </w:p>
          <w:p w14:paraId="6E25F53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eastAsia="en-US" w:bidi="ar-SA"/>
              </w:rPr>
              <w:t>2、</w:t>
            </w:r>
            <w:r>
              <w:rPr>
                <w:rFonts w:hint="eastAsia" w:ascii="宋体" w:hAnsi="宋体" w:eastAsia="宋体" w:cs="宋体"/>
                <w:color w:val="auto"/>
                <w:sz w:val="24"/>
                <w:szCs w:val="24"/>
              </w:rPr>
              <w:t>炉体外装饰面板材料选用优质不锈钢拉丝板厚度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1.0mm，外装饰立柱采用优质镀锌方管厚度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1.2mm，截面尺寸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40mm，外加钛金不锈钢镶边。外装饰面板采用智能剪板下料，经数控折弯成形，面板采用S型卡扣连接，卡扣截面尺寸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80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40mm。</w:t>
            </w:r>
          </w:p>
          <w:p w14:paraId="5F6E9D8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eastAsia="en-US" w:bidi="ar-SA"/>
              </w:rPr>
              <w:t>3、</w:t>
            </w:r>
            <w:r>
              <w:rPr>
                <w:rFonts w:hint="eastAsia" w:ascii="宋体" w:hAnsi="宋体" w:eastAsia="宋体" w:cs="宋体"/>
                <w:color w:val="auto"/>
                <w:sz w:val="24"/>
                <w:szCs w:val="24"/>
              </w:rPr>
              <w:t>火化机装饰板依据GB/T3325标准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经800mm冲击试验后，无剥落、裂纹、皱纹</w:t>
            </w:r>
            <w:r>
              <w:rPr>
                <w:rFonts w:hint="eastAsia" w:ascii="宋体" w:hAnsi="宋体" w:eastAsia="宋体" w:cs="宋体"/>
                <w:color w:val="auto"/>
                <w:sz w:val="24"/>
                <w:szCs w:val="24"/>
                <w:lang w:val="en-US" w:eastAsia="zh-CN"/>
              </w:rPr>
              <w:t>。</w:t>
            </w:r>
          </w:p>
        </w:tc>
        <w:tc>
          <w:tcPr>
            <w:tcW w:w="456" w:type="dxa"/>
            <w:vMerge w:val="restart"/>
            <w:tcBorders>
              <w:top w:val="single" w:color="auto" w:sz="4" w:space="0"/>
              <w:left w:val="single" w:color="auto" w:sz="4" w:space="0"/>
              <w:right w:val="single" w:color="auto" w:sz="4" w:space="0"/>
            </w:tcBorders>
            <w:shd w:val="clear" w:color="auto" w:fill="auto"/>
            <w:noWrap w:val="0"/>
            <w:vAlign w:val="center"/>
          </w:tcPr>
          <w:p w14:paraId="5C59C712">
            <w:pPr>
              <w:jc w:val="center"/>
              <w:rPr>
                <w:rFonts w:hint="default" w:ascii="宋体" w:hAnsi="宋体" w:eastAsia="宋体" w:cs="宋体"/>
                <w:color w:val="auto"/>
                <w:kern w:val="2"/>
                <w:sz w:val="24"/>
                <w:szCs w:val="24"/>
                <w:vertAlign w:val="baseline"/>
                <w:lang w:val="en-US" w:eastAsia="en-US" w:bidi="ar-SA"/>
              </w:rPr>
            </w:pPr>
            <w:r>
              <w:rPr>
                <w:rFonts w:hint="eastAsia" w:ascii="宋体" w:hAnsi="宋体" w:eastAsia="宋体" w:cs="宋体"/>
                <w:color w:val="auto"/>
                <w:sz w:val="24"/>
                <w:szCs w:val="24"/>
                <w:vertAlign w:val="baseline"/>
                <w:lang w:val="en-US" w:eastAsia="zh-CN"/>
              </w:rPr>
              <w:t>台</w:t>
            </w:r>
          </w:p>
        </w:tc>
        <w:tc>
          <w:tcPr>
            <w:tcW w:w="462" w:type="dxa"/>
            <w:gridSpan w:val="2"/>
            <w:vMerge w:val="restart"/>
            <w:tcBorders>
              <w:top w:val="single" w:color="auto" w:sz="4" w:space="0"/>
              <w:left w:val="single" w:color="auto" w:sz="4" w:space="0"/>
            </w:tcBorders>
            <w:shd w:val="clear" w:color="auto" w:fill="auto"/>
            <w:noWrap w:val="0"/>
            <w:vAlign w:val="center"/>
          </w:tcPr>
          <w:p w14:paraId="52F3815E">
            <w:pPr>
              <w:jc w:val="center"/>
              <w:rPr>
                <w:rFonts w:hint="default" w:ascii="宋体" w:hAnsi="宋体" w:eastAsia="宋体" w:cs="宋体"/>
                <w:color w:val="auto"/>
                <w:kern w:val="2"/>
                <w:sz w:val="24"/>
                <w:szCs w:val="24"/>
                <w:vertAlign w:val="baseline"/>
                <w:lang w:val="en-US" w:eastAsia="en-US" w:bidi="ar-SA"/>
              </w:rPr>
            </w:pPr>
            <w:r>
              <w:rPr>
                <w:rFonts w:hint="eastAsia" w:ascii="宋体" w:hAnsi="宋体" w:eastAsia="宋体" w:cs="宋体"/>
                <w:color w:val="auto"/>
                <w:sz w:val="24"/>
                <w:szCs w:val="24"/>
                <w:vertAlign w:val="baseline"/>
                <w:lang w:val="en-US" w:eastAsia="zh-CN"/>
              </w:rPr>
              <w:t>1</w:t>
            </w:r>
          </w:p>
        </w:tc>
      </w:tr>
      <w:tr w14:paraId="0A5D5B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457" w:type="dxa"/>
            <w:vMerge w:val="continue"/>
            <w:tcBorders>
              <w:right w:val="single" w:color="000000" w:sz="4" w:space="0"/>
            </w:tcBorders>
            <w:noWrap w:val="0"/>
            <w:vAlign w:val="center"/>
          </w:tcPr>
          <w:p w14:paraId="423585A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p>
        </w:tc>
        <w:tc>
          <w:tcPr>
            <w:tcW w:w="541" w:type="dxa"/>
            <w:vMerge w:val="continue"/>
            <w:tcBorders>
              <w:left w:val="single" w:color="000000" w:sz="4" w:space="0"/>
              <w:right w:val="single" w:color="000000" w:sz="4" w:space="0"/>
            </w:tcBorders>
            <w:noWrap w:val="0"/>
            <w:vAlign w:val="center"/>
          </w:tcPr>
          <w:p w14:paraId="31E0A0B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2E842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设备主体炉架及尺寸</w:t>
            </w:r>
          </w:p>
        </w:tc>
        <w:tc>
          <w:tcPr>
            <w:tcW w:w="6004" w:type="dxa"/>
            <w:tcBorders>
              <w:top w:val="single" w:color="000000" w:sz="4" w:space="0"/>
              <w:left w:val="single" w:color="000000" w:sz="4" w:space="0"/>
              <w:bottom w:val="single" w:color="000000" w:sz="4" w:space="0"/>
              <w:right w:val="single" w:color="auto" w:sz="4" w:space="0"/>
            </w:tcBorders>
            <w:noWrap w:val="0"/>
            <w:vAlign w:val="center"/>
          </w:tcPr>
          <w:p w14:paraId="314B06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en-US" w:bidi="ar-SA"/>
              </w:rPr>
              <w:t>1、</w:t>
            </w:r>
            <w:r>
              <w:rPr>
                <w:rFonts w:hint="eastAsia" w:ascii="宋体" w:hAnsi="宋体" w:eastAsia="宋体" w:cs="宋体"/>
                <w:color w:val="auto"/>
                <w:sz w:val="24"/>
                <w:szCs w:val="24"/>
              </w:rPr>
              <w:t>外型尺寸：L3400mm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W2150mm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H3150mm（±5%)。</w:t>
            </w:r>
          </w:p>
          <w:p w14:paraId="21E4EE9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en-US" w:bidi="ar-SA"/>
              </w:rPr>
              <w:t>2、</w:t>
            </w:r>
            <w:r>
              <w:rPr>
                <w:rFonts w:hint="eastAsia" w:ascii="宋体" w:hAnsi="宋体" w:eastAsia="宋体" w:cs="宋体"/>
                <w:color w:val="auto"/>
                <w:sz w:val="24"/>
                <w:szCs w:val="24"/>
              </w:rPr>
              <w:t>前立架尺寸：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L2150mm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W740mm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H3150mm，对角线误差≤2.0mm,垂直度误差≤2.8/1000。</w:t>
            </w:r>
          </w:p>
          <w:p w14:paraId="1119116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en-US" w:bidi="ar-SA"/>
              </w:rPr>
              <w:t>3、</w:t>
            </w:r>
            <w:r>
              <w:rPr>
                <w:rFonts w:hint="eastAsia" w:ascii="宋体" w:hAnsi="宋体" w:eastAsia="宋体" w:cs="宋体"/>
                <w:color w:val="auto"/>
                <w:sz w:val="24"/>
                <w:szCs w:val="24"/>
              </w:rPr>
              <w:t>侧架尺寸：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L2140mm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H2100mm，对角线误差≤2.0mm。</w:t>
            </w:r>
          </w:p>
          <w:p w14:paraId="1C0FD01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en-US" w:bidi="ar-SA"/>
              </w:rPr>
              <w:t>4、</w:t>
            </w:r>
            <w:r>
              <w:rPr>
                <w:rFonts w:hint="eastAsia" w:ascii="宋体" w:hAnsi="宋体" w:eastAsia="宋体" w:cs="宋体"/>
                <w:color w:val="auto"/>
                <w:sz w:val="24"/>
                <w:szCs w:val="24"/>
              </w:rPr>
              <w:t>后立架尺寸：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L2150mm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W500mm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H2500mm，对角线误差≦2.0mm,垂直度误差≦2.0/1000。</w:t>
            </w:r>
          </w:p>
          <w:p w14:paraId="5D3025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en-US" w:bidi="ar-SA"/>
              </w:rPr>
              <w:t>5、</w:t>
            </w:r>
            <w:r>
              <w:rPr>
                <w:rFonts w:hint="eastAsia" w:ascii="宋体" w:hAnsi="宋体" w:eastAsia="宋体" w:cs="宋体"/>
                <w:color w:val="auto"/>
                <w:sz w:val="24"/>
                <w:szCs w:val="24"/>
              </w:rPr>
              <w:t>立架用材采用5#角钢（国标）制作，截面尺寸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50mm，经激光切割下料，电焊打磨组装成形，经酸洗-水洗-表调-磷化-烘干等工艺及喷漆工艺处理。</w:t>
            </w:r>
          </w:p>
        </w:tc>
        <w:tc>
          <w:tcPr>
            <w:tcW w:w="456" w:type="dxa"/>
            <w:vMerge w:val="continue"/>
            <w:tcBorders>
              <w:left w:val="single" w:color="auto" w:sz="4" w:space="0"/>
              <w:right w:val="single" w:color="auto" w:sz="4" w:space="0"/>
            </w:tcBorders>
            <w:shd w:val="clear" w:color="auto" w:fill="auto"/>
            <w:noWrap w:val="0"/>
            <w:vAlign w:val="top"/>
          </w:tcPr>
          <w:p w14:paraId="636DB7B9">
            <w:pPr>
              <w:rPr>
                <w:rFonts w:hint="eastAsia" w:ascii="宋体" w:hAnsi="宋体" w:eastAsia="宋体" w:cs="宋体"/>
                <w:color w:val="auto"/>
                <w:sz w:val="24"/>
                <w:szCs w:val="24"/>
                <w:lang w:val="en-US" w:eastAsia="en-US" w:bidi="ar-SA"/>
              </w:rPr>
            </w:pPr>
          </w:p>
        </w:tc>
        <w:tc>
          <w:tcPr>
            <w:tcW w:w="462" w:type="dxa"/>
            <w:gridSpan w:val="2"/>
            <w:vMerge w:val="continue"/>
            <w:tcBorders>
              <w:left w:val="single" w:color="auto" w:sz="4" w:space="0"/>
            </w:tcBorders>
            <w:shd w:val="clear" w:color="auto" w:fill="auto"/>
            <w:noWrap w:val="0"/>
            <w:vAlign w:val="top"/>
          </w:tcPr>
          <w:p w14:paraId="222B3DDA">
            <w:pPr>
              <w:rPr>
                <w:rFonts w:hint="eastAsia" w:ascii="宋体" w:hAnsi="宋体" w:eastAsia="宋体" w:cs="宋体"/>
                <w:color w:val="auto"/>
                <w:sz w:val="24"/>
                <w:szCs w:val="24"/>
                <w:lang w:val="en-US" w:eastAsia="en-US" w:bidi="ar-SA"/>
              </w:rPr>
            </w:pPr>
          </w:p>
        </w:tc>
      </w:tr>
      <w:tr w14:paraId="7C6EA9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97" w:hRule="atLeast"/>
          <w:jc w:val="center"/>
        </w:trPr>
        <w:tc>
          <w:tcPr>
            <w:tcW w:w="457" w:type="dxa"/>
            <w:vMerge w:val="continue"/>
            <w:tcBorders>
              <w:right w:val="single" w:color="000000" w:sz="4" w:space="0"/>
            </w:tcBorders>
            <w:noWrap w:val="0"/>
            <w:vAlign w:val="center"/>
          </w:tcPr>
          <w:p w14:paraId="69C0989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p>
        </w:tc>
        <w:tc>
          <w:tcPr>
            <w:tcW w:w="541" w:type="dxa"/>
            <w:vMerge w:val="continue"/>
            <w:tcBorders>
              <w:left w:val="single" w:color="000000" w:sz="4" w:space="0"/>
              <w:right w:val="single" w:color="000000" w:sz="4" w:space="0"/>
            </w:tcBorders>
            <w:noWrap w:val="0"/>
            <w:vAlign w:val="center"/>
          </w:tcPr>
          <w:p w14:paraId="263FC09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17EAA0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炉门及升降系统</w:t>
            </w:r>
          </w:p>
        </w:tc>
        <w:tc>
          <w:tcPr>
            <w:tcW w:w="6004" w:type="dxa"/>
            <w:tcBorders>
              <w:top w:val="single" w:color="000000" w:sz="4" w:space="0"/>
              <w:left w:val="single" w:color="000000" w:sz="4" w:space="0"/>
              <w:bottom w:val="single" w:color="000000" w:sz="4" w:space="0"/>
              <w:right w:val="single" w:color="auto" w:sz="4" w:space="0"/>
            </w:tcBorders>
            <w:noWrap w:val="0"/>
            <w:vAlign w:val="center"/>
          </w:tcPr>
          <w:p w14:paraId="195B8EE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炉门尺寸：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L1060mm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W1000mm，厚度：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100mm，主材料采用耐高温（≥1500℃）硅酸铝纤维棉压制成形，炉门四周采用优质不锈钢镶边。</w:t>
            </w:r>
          </w:p>
          <w:p w14:paraId="0895ED8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炉门直连式结构，</w:t>
            </w:r>
            <w:r>
              <w:rPr>
                <w:rFonts w:hint="eastAsia" w:ascii="宋体" w:hAnsi="宋体" w:eastAsia="宋体" w:cs="宋体"/>
                <w:color w:val="auto"/>
                <w:sz w:val="24"/>
                <w:szCs w:val="24"/>
                <w:lang w:val="en-US" w:eastAsia="zh-CN"/>
              </w:rPr>
              <w:t>密封性能良好，</w:t>
            </w:r>
            <w:r>
              <w:rPr>
                <w:rFonts w:hint="eastAsia" w:ascii="宋体" w:hAnsi="宋体" w:eastAsia="宋体" w:cs="宋体"/>
                <w:color w:val="auto"/>
                <w:sz w:val="24"/>
                <w:szCs w:val="24"/>
              </w:rPr>
              <w:t>具有一键操作自动升降功能和应急手动操作升降功能。依靠重力密封炉膛,采用链条提升结构。链条最小抗拉</w:t>
            </w:r>
            <w:r>
              <w:rPr>
                <w:rFonts w:hint="eastAsia" w:ascii="宋体" w:hAnsi="宋体" w:eastAsia="宋体" w:cs="宋体"/>
                <w:color w:val="auto"/>
                <w:sz w:val="24"/>
                <w:szCs w:val="24"/>
                <w:lang w:val="en-US" w:eastAsia="zh-CN"/>
              </w:rPr>
              <w:t>强度（载荷）</w:t>
            </w:r>
            <w:r>
              <w:rPr>
                <w:rFonts w:hint="eastAsia" w:ascii="宋体" w:hAnsi="宋体" w:eastAsia="宋体" w:cs="宋体"/>
                <w:color w:val="auto"/>
                <w:sz w:val="24"/>
                <w:szCs w:val="24"/>
              </w:rPr>
              <w:t>≥9900N</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依据GB/T 14212)。</w:t>
            </w:r>
          </w:p>
          <w:p w14:paraId="5B28F1E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炉门启闭动作灵敏、密封可靠耐用,炉门提升行程准确，联体传动低噪音,连续启闭无故障。</w:t>
            </w:r>
          </w:p>
        </w:tc>
        <w:tc>
          <w:tcPr>
            <w:tcW w:w="456" w:type="dxa"/>
            <w:vMerge w:val="continue"/>
            <w:tcBorders>
              <w:left w:val="single" w:color="auto" w:sz="4" w:space="0"/>
              <w:right w:val="single" w:color="auto" w:sz="4" w:space="0"/>
            </w:tcBorders>
            <w:shd w:val="clear" w:color="auto" w:fill="auto"/>
            <w:noWrap w:val="0"/>
            <w:vAlign w:val="top"/>
          </w:tcPr>
          <w:p w14:paraId="1FB331D6">
            <w:pPr>
              <w:rPr>
                <w:rFonts w:hint="eastAsia" w:ascii="宋体" w:hAnsi="宋体" w:eastAsia="宋体" w:cs="宋体"/>
                <w:color w:val="auto"/>
                <w:kern w:val="2"/>
                <w:sz w:val="24"/>
                <w:szCs w:val="24"/>
                <w:lang w:val="en-US" w:eastAsia="zh-CN" w:bidi="ar-SA"/>
              </w:rPr>
            </w:pPr>
          </w:p>
        </w:tc>
        <w:tc>
          <w:tcPr>
            <w:tcW w:w="462" w:type="dxa"/>
            <w:gridSpan w:val="2"/>
            <w:vMerge w:val="continue"/>
            <w:tcBorders>
              <w:left w:val="single" w:color="auto" w:sz="4" w:space="0"/>
            </w:tcBorders>
            <w:shd w:val="clear" w:color="auto" w:fill="auto"/>
            <w:noWrap w:val="0"/>
            <w:vAlign w:val="top"/>
          </w:tcPr>
          <w:p w14:paraId="5CCDCCE5">
            <w:pPr>
              <w:rPr>
                <w:rFonts w:hint="eastAsia" w:ascii="宋体" w:hAnsi="宋体" w:eastAsia="宋体" w:cs="宋体"/>
                <w:color w:val="auto"/>
                <w:kern w:val="2"/>
                <w:sz w:val="24"/>
                <w:szCs w:val="24"/>
                <w:lang w:val="en-US" w:eastAsia="zh-CN" w:bidi="ar-SA"/>
              </w:rPr>
            </w:pPr>
          </w:p>
        </w:tc>
      </w:tr>
      <w:tr w14:paraId="5AB5B3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69" w:hRule="atLeast"/>
          <w:jc w:val="center"/>
        </w:trPr>
        <w:tc>
          <w:tcPr>
            <w:tcW w:w="457" w:type="dxa"/>
            <w:vMerge w:val="continue"/>
            <w:tcBorders>
              <w:right w:val="single" w:color="000000" w:sz="4" w:space="0"/>
            </w:tcBorders>
            <w:noWrap w:val="0"/>
            <w:vAlign w:val="center"/>
          </w:tcPr>
          <w:p w14:paraId="0859C6A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p>
        </w:tc>
        <w:tc>
          <w:tcPr>
            <w:tcW w:w="541" w:type="dxa"/>
            <w:vMerge w:val="continue"/>
            <w:tcBorders>
              <w:left w:val="single" w:color="000000" w:sz="4" w:space="0"/>
              <w:right w:val="single" w:color="000000" w:sz="4" w:space="0"/>
            </w:tcBorders>
            <w:noWrap w:val="0"/>
            <w:vAlign w:val="center"/>
          </w:tcPr>
          <w:p w14:paraId="05927C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val="en-US" w:eastAsia="zh-CN"/>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65554B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双向履带运尸车</w:t>
            </w:r>
          </w:p>
        </w:tc>
        <w:tc>
          <w:tcPr>
            <w:tcW w:w="6004" w:type="dxa"/>
            <w:tcBorders>
              <w:top w:val="single" w:color="000000" w:sz="4" w:space="0"/>
              <w:left w:val="single" w:color="000000" w:sz="4" w:space="0"/>
              <w:bottom w:val="single" w:color="000000" w:sz="4" w:space="0"/>
              <w:right w:val="single" w:color="auto" w:sz="4" w:space="0"/>
            </w:tcBorders>
            <w:noWrap w:val="0"/>
            <w:vAlign w:val="center"/>
          </w:tcPr>
          <w:p w14:paraId="73E45A15">
            <w:pPr>
              <w:keepNext w:val="0"/>
              <w:keepLines w:val="0"/>
              <w:pageBreakBefore w:val="0"/>
              <w:widowControl w:val="0"/>
              <w:numPr>
                <w:ilvl w:val="0"/>
                <w:numId w:val="7"/>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双向履带运尸车规格：L3720*W820*H740mm(±5%)</w:t>
            </w:r>
          </w:p>
          <w:p w14:paraId="1B4349DF">
            <w:pPr>
              <w:keepNext w:val="0"/>
              <w:keepLines w:val="0"/>
              <w:pageBreakBefore w:val="0"/>
              <w:widowControl w:val="0"/>
              <w:numPr>
                <w:ilvl w:val="0"/>
                <w:numId w:val="7"/>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双向履带运尸车履带使用优质不锈钢冲压制作而成，坚固耐用；履带具有防卡死功能，运行平稳低噪音。</w:t>
            </w:r>
          </w:p>
          <w:p w14:paraId="2DC73754">
            <w:pPr>
              <w:keepNext w:val="0"/>
              <w:keepLines w:val="0"/>
              <w:pageBreakBefore w:val="0"/>
              <w:widowControl w:val="0"/>
              <w:numPr>
                <w:ilvl w:val="0"/>
                <w:numId w:val="7"/>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双向履带运尸车传动：采用涡轮蜗杆减速机及全链条传动，配有齿轮离合装置，可实现手动应急控制。</w:t>
            </w:r>
          </w:p>
          <w:p w14:paraId="5BA6274C">
            <w:pPr>
              <w:keepNext w:val="0"/>
              <w:keepLines w:val="0"/>
              <w:pageBreakBefore w:val="0"/>
              <w:widowControl w:val="0"/>
              <w:numPr>
                <w:ilvl w:val="0"/>
                <w:numId w:val="7"/>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控制方式：通过自动、手动、点动控制方式实现履带双向输送遗体。</w:t>
            </w:r>
          </w:p>
          <w:p w14:paraId="7DD4BB00">
            <w:pPr>
              <w:keepNext w:val="0"/>
              <w:keepLines w:val="0"/>
              <w:pageBreakBefore w:val="0"/>
              <w:widowControl w:val="0"/>
              <w:numPr>
                <w:ilvl w:val="0"/>
                <w:numId w:val="7"/>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外装饰不小于1mm优质不锈钢板</w:t>
            </w:r>
            <w:r>
              <w:rPr>
                <w:rFonts w:hint="eastAsia" w:ascii="宋体" w:hAnsi="宋体" w:cs="宋体"/>
                <w:color w:val="auto"/>
                <w:sz w:val="24"/>
                <w:szCs w:val="24"/>
                <w:lang w:val="en-US" w:eastAsia="zh-CN"/>
              </w:rPr>
              <w:t>。</w:t>
            </w:r>
          </w:p>
        </w:tc>
        <w:tc>
          <w:tcPr>
            <w:tcW w:w="456" w:type="dxa"/>
            <w:vMerge w:val="continue"/>
            <w:tcBorders>
              <w:left w:val="single" w:color="auto" w:sz="4" w:space="0"/>
              <w:right w:val="single" w:color="auto" w:sz="4" w:space="0"/>
            </w:tcBorders>
            <w:shd w:val="clear" w:color="auto" w:fill="auto"/>
            <w:noWrap w:val="0"/>
            <w:vAlign w:val="top"/>
          </w:tcPr>
          <w:p w14:paraId="2F46DDDD">
            <w:pPr>
              <w:rPr>
                <w:rFonts w:hint="eastAsia" w:ascii="宋体" w:hAnsi="宋体" w:eastAsia="宋体" w:cs="宋体"/>
                <w:color w:val="auto"/>
                <w:sz w:val="24"/>
                <w:szCs w:val="24"/>
                <w:lang w:val="en-US" w:eastAsia="zh-CN"/>
              </w:rPr>
            </w:pPr>
          </w:p>
        </w:tc>
        <w:tc>
          <w:tcPr>
            <w:tcW w:w="462" w:type="dxa"/>
            <w:gridSpan w:val="2"/>
            <w:vMerge w:val="continue"/>
            <w:tcBorders>
              <w:left w:val="single" w:color="auto" w:sz="4" w:space="0"/>
            </w:tcBorders>
            <w:shd w:val="clear" w:color="auto" w:fill="auto"/>
            <w:noWrap w:val="0"/>
            <w:vAlign w:val="top"/>
          </w:tcPr>
          <w:p w14:paraId="61E63300">
            <w:pPr>
              <w:rPr>
                <w:rFonts w:hint="eastAsia" w:ascii="宋体" w:hAnsi="宋体" w:eastAsia="宋体" w:cs="宋体"/>
                <w:color w:val="auto"/>
                <w:sz w:val="24"/>
                <w:szCs w:val="24"/>
                <w:lang w:val="en-US" w:eastAsia="zh-CN"/>
              </w:rPr>
            </w:pPr>
          </w:p>
        </w:tc>
      </w:tr>
      <w:tr w14:paraId="31E4BA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457" w:type="dxa"/>
            <w:vMerge w:val="continue"/>
            <w:tcBorders>
              <w:right w:val="single" w:color="000000" w:sz="4" w:space="0"/>
            </w:tcBorders>
            <w:noWrap w:val="0"/>
            <w:vAlign w:val="center"/>
          </w:tcPr>
          <w:p w14:paraId="10DE694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eastAsia="zh-CN"/>
              </w:rPr>
            </w:pPr>
          </w:p>
        </w:tc>
        <w:tc>
          <w:tcPr>
            <w:tcW w:w="541" w:type="dxa"/>
            <w:vMerge w:val="continue"/>
            <w:tcBorders>
              <w:left w:val="single" w:color="000000" w:sz="4" w:space="0"/>
              <w:right w:val="single" w:color="000000" w:sz="4" w:space="0"/>
            </w:tcBorders>
            <w:noWrap w:val="0"/>
            <w:vAlign w:val="center"/>
          </w:tcPr>
          <w:p w14:paraId="357B83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D483A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预备门系统</w:t>
            </w:r>
          </w:p>
        </w:tc>
        <w:tc>
          <w:tcPr>
            <w:tcW w:w="6004" w:type="dxa"/>
            <w:tcBorders>
              <w:top w:val="single" w:color="000000" w:sz="4" w:space="0"/>
              <w:left w:val="single" w:color="000000" w:sz="4" w:space="0"/>
              <w:bottom w:val="single" w:color="000000" w:sz="4" w:space="0"/>
              <w:right w:val="single" w:color="auto" w:sz="4" w:space="0"/>
            </w:tcBorders>
            <w:noWrap w:val="0"/>
            <w:vAlign w:val="center"/>
          </w:tcPr>
          <w:p w14:paraId="01E99D7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en-US" w:bidi="ar-SA"/>
              </w:rPr>
              <w:t>1、</w:t>
            </w:r>
            <w:r>
              <w:rPr>
                <w:rFonts w:hint="eastAsia" w:ascii="宋体" w:hAnsi="宋体" w:eastAsia="宋体" w:cs="宋体"/>
                <w:color w:val="auto"/>
                <w:sz w:val="24"/>
                <w:szCs w:val="24"/>
              </w:rPr>
              <w:t>预备门尺寸：W1100mm</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H1800mm（±5%）。</w:t>
            </w:r>
          </w:p>
          <w:p w14:paraId="3D9E589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en-US" w:bidi="ar-SA"/>
              </w:rPr>
              <w:t>2、</w:t>
            </w:r>
            <w:r>
              <w:rPr>
                <w:rFonts w:hint="eastAsia" w:ascii="宋体" w:hAnsi="宋体" w:eastAsia="宋体" w:cs="宋体"/>
                <w:color w:val="auto"/>
                <w:sz w:val="24"/>
                <w:szCs w:val="24"/>
              </w:rPr>
              <w:t>主材采用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1.0mm优质不锈钢，经智能剪板下料，精加工成形，采用移动双开门结构，传动选用可逆减速电机、同步带、同步轮传动，预备门轨道选用铝合金移门吊轮吊轨，运行平稳，滑动轻松，启闭</w:t>
            </w:r>
            <w:r>
              <w:rPr>
                <w:rFonts w:hint="eastAsia" w:ascii="宋体" w:hAnsi="宋体" w:eastAsia="宋体" w:cs="宋体"/>
                <w:color w:val="auto"/>
                <w:sz w:val="24"/>
                <w:szCs w:val="24"/>
                <w:lang w:val="en-US" w:eastAsia="zh-CN"/>
              </w:rPr>
              <w:t>低</w:t>
            </w:r>
            <w:r>
              <w:rPr>
                <w:rFonts w:hint="eastAsia" w:ascii="宋体" w:hAnsi="宋体" w:eastAsia="宋体" w:cs="宋体"/>
                <w:color w:val="auto"/>
                <w:sz w:val="24"/>
                <w:szCs w:val="24"/>
              </w:rPr>
              <w:t>噪声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不锈钢乙酸盐雾试验800H，耐腐蚀等级或（镀层）不小于 10 级（依据GB/T 3325、GB/T 3280、QB/T 3827、QB/T 3832）。</w:t>
            </w:r>
          </w:p>
          <w:p w14:paraId="71E22A8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en-US" w:bidi="ar-SA"/>
              </w:rPr>
              <w:t>3、</w:t>
            </w:r>
            <w:r>
              <w:rPr>
                <w:rFonts w:hint="eastAsia" w:ascii="宋体" w:hAnsi="宋体" w:eastAsia="宋体" w:cs="宋体"/>
                <w:color w:val="auto"/>
                <w:sz w:val="24"/>
                <w:szCs w:val="24"/>
              </w:rPr>
              <w:t>前厅预备门上方装备LED电子显示屏，尺寸：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L530mm</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W160mm，功能是显示火化炉运行工作状态（如火化中、空炉、停炉）等信息。</w:t>
            </w:r>
          </w:p>
        </w:tc>
        <w:tc>
          <w:tcPr>
            <w:tcW w:w="456" w:type="dxa"/>
            <w:vMerge w:val="continue"/>
            <w:tcBorders>
              <w:left w:val="single" w:color="auto" w:sz="4" w:space="0"/>
              <w:right w:val="single" w:color="auto" w:sz="4" w:space="0"/>
            </w:tcBorders>
            <w:shd w:val="clear" w:color="auto" w:fill="auto"/>
            <w:noWrap w:val="0"/>
            <w:vAlign w:val="top"/>
          </w:tcPr>
          <w:p w14:paraId="720EB9A4">
            <w:pPr>
              <w:rPr>
                <w:rFonts w:hint="eastAsia" w:ascii="宋体" w:hAnsi="宋体" w:eastAsia="宋体" w:cs="宋体"/>
                <w:color w:val="auto"/>
                <w:sz w:val="24"/>
                <w:szCs w:val="24"/>
                <w:lang w:val="en-US" w:eastAsia="en-US" w:bidi="ar-SA"/>
              </w:rPr>
            </w:pPr>
          </w:p>
        </w:tc>
        <w:tc>
          <w:tcPr>
            <w:tcW w:w="462" w:type="dxa"/>
            <w:gridSpan w:val="2"/>
            <w:vMerge w:val="continue"/>
            <w:tcBorders>
              <w:left w:val="single" w:color="auto" w:sz="4" w:space="0"/>
            </w:tcBorders>
            <w:shd w:val="clear" w:color="auto" w:fill="auto"/>
            <w:noWrap w:val="0"/>
            <w:vAlign w:val="top"/>
          </w:tcPr>
          <w:p w14:paraId="124AB90A">
            <w:pPr>
              <w:rPr>
                <w:rFonts w:hint="eastAsia" w:ascii="宋体" w:hAnsi="宋体" w:eastAsia="宋体" w:cs="宋体"/>
                <w:color w:val="auto"/>
                <w:sz w:val="24"/>
                <w:szCs w:val="24"/>
                <w:lang w:val="en-US" w:eastAsia="en-US" w:bidi="ar-SA"/>
              </w:rPr>
            </w:pPr>
          </w:p>
        </w:tc>
      </w:tr>
      <w:tr w14:paraId="4D405B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91" w:hRule="atLeast"/>
          <w:jc w:val="center"/>
        </w:trPr>
        <w:tc>
          <w:tcPr>
            <w:tcW w:w="457" w:type="dxa"/>
            <w:vMerge w:val="continue"/>
            <w:tcBorders>
              <w:right w:val="single" w:color="000000" w:sz="4" w:space="0"/>
            </w:tcBorders>
            <w:noWrap w:val="0"/>
            <w:vAlign w:val="center"/>
          </w:tcPr>
          <w:p w14:paraId="34CBF13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eastAsia="zh-CN"/>
              </w:rPr>
            </w:pPr>
          </w:p>
        </w:tc>
        <w:tc>
          <w:tcPr>
            <w:tcW w:w="541" w:type="dxa"/>
            <w:vMerge w:val="continue"/>
            <w:tcBorders>
              <w:left w:val="single" w:color="000000" w:sz="4" w:space="0"/>
              <w:right w:val="single" w:color="000000" w:sz="4" w:space="0"/>
            </w:tcBorders>
            <w:noWrap w:val="0"/>
            <w:vAlign w:val="center"/>
          </w:tcPr>
          <w:p w14:paraId="0F5EAC6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E3061C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炉膛系统</w:t>
            </w:r>
          </w:p>
        </w:tc>
        <w:tc>
          <w:tcPr>
            <w:tcW w:w="6004" w:type="dxa"/>
            <w:tcBorders>
              <w:top w:val="single" w:color="000000" w:sz="4" w:space="0"/>
              <w:left w:val="single" w:color="000000" w:sz="4" w:space="0"/>
              <w:bottom w:val="single" w:color="000000" w:sz="4" w:space="0"/>
              <w:right w:val="single" w:color="auto" w:sz="4" w:space="0"/>
            </w:tcBorders>
            <w:noWrap w:val="0"/>
            <w:vAlign w:val="center"/>
          </w:tcPr>
          <w:p w14:paraId="11B07F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炉膛系统由主炉膛和二燃室组成。</w:t>
            </w:r>
          </w:p>
          <w:p w14:paraId="408497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一、主炉膛：</w:t>
            </w:r>
          </w:p>
          <w:p w14:paraId="62D2FA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1、主炉膛尺寸：L2180mm</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W700mm</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H750mm（根据实际可调）</w:t>
            </w:r>
          </w:p>
          <w:p w14:paraId="71F916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2、工作压力：-5Pa～-30Pa可在此范围内调节。</w:t>
            </w:r>
          </w:p>
          <w:p w14:paraId="5C96ED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3、工作温度：600℃～950℃。</w:t>
            </w:r>
          </w:p>
          <w:p w14:paraId="3217DE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4、主炉膛耐高温1600℃、耐压强度85MPa。</w:t>
            </w:r>
          </w:p>
          <w:p w14:paraId="48E44E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二、二燃室：</w:t>
            </w:r>
          </w:p>
          <w:p w14:paraId="660633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1、二燃室尺寸：L1620mm</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W1150mm</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H350mm（根据实际可调）</w:t>
            </w:r>
          </w:p>
          <w:p w14:paraId="2B62BC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2、工作温度：600℃～1000℃。</w:t>
            </w:r>
          </w:p>
          <w:p w14:paraId="34118E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三、耐火材料与砌筑工艺：</w:t>
            </w:r>
          </w:p>
          <w:p w14:paraId="2C6C41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1、烟闸板：</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L700mm</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W640mm</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H65mm，选用优质高铝耐火水泥和一级高铝骨料浇筑成形。</w:t>
            </w:r>
          </w:p>
          <w:p w14:paraId="0B03AE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2、耐温层：选用高温耐火砖砌筑（1600℃以上），凝结材料采用高温耐火泥，耐火泥粘接时间≥100s，加热永久线变化≤-0.6%。</w:t>
            </w:r>
          </w:p>
          <w:p w14:paraId="3C55298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3、隔热层：耐高温硅酸铝纤维毡抹耐火泥贴制。</w:t>
            </w:r>
          </w:p>
          <w:p w14:paraId="002FAA3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4、保温层：采用国产高质耐火棉，体积密度不小于120kg/m</w:t>
            </w:r>
            <w:r>
              <w:rPr>
                <w:rFonts w:hint="eastAsia" w:ascii="宋体" w:hAnsi="宋体" w:eastAsia="宋体" w:cs="宋体"/>
                <w:color w:val="auto"/>
                <w:sz w:val="24"/>
                <w:szCs w:val="24"/>
                <w:lang w:val="en-US" w:eastAsia="zh-CN"/>
              </w:rPr>
              <w:t>³</w:t>
            </w:r>
            <w:r>
              <w:rPr>
                <w:rFonts w:hint="eastAsia" w:ascii="宋体" w:hAnsi="宋体" w:eastAsia="宋体" w:cs="宋体"/>
                <w:color w:val="auto"/>
                <w:sz w:val="24"/>
                <w:szCs w:val="24"/>
              </w:rPr>
              <w:t>、导热系数≤0.09W/(m・K)，停炉24小时降温不超过300℃，同时炉体表面平均温度不高于30℃。</w:t>
            </w:r>
          </w:p>
          <w:p w14:paraId="1DEDEC7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5、炉膛拱顶：拱顶上部采用高温耐火材料浇筑，拱顶使用高铝耐火水泥、一级高铝骨料，厚度不少于120mm。</w:t>
            </w:r>
          </w:p>
          <w:p w14:paraId="79FF67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6、燃烧器座砖、烟道出火口：均采用耐火水泥浇筑。</w:t>
            </w:r>
          </w:p>
          <w:p w14:paraId="19FBF1A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7、密闭性：火化设备（火化炉、鼓风装置、引风装置、烟道闸板、烟道等）在正常运行中及停机后不许出现烟气溢出，倒烟、回烟、异味现象。</w:t>
            </w:r>
          </w:p>
          <w:p w14:paraId="3BE895F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8、观察口门：采用铸件精加工而成，内衬高温陶瓷纤维板隔热，外用不锈钢拉丝板装饰，配有观察孔。</w:t>
            </w:r>
          </w:p>
          <w:p w14:paraId="676D2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9、砌筑工艺：砌筑耐火砖的灰缝不大于2.8mm，主炉膛灰缝不大于2.0mm，横平竖直，泥浆饱满，砌体垂直度3/1000，平面直线度不大于3/1000，用切割机切砖并磨平后使用。</w:t>
            </w:r>
          </w:p>
        </w:tc>
        <w:tc>
          <w:tcPr>
            <w:tcW w:w="456" w:type="dxa"/>
            <w:vMerge w:val="continue"/>
            <w:tcBorders>
              <w:left w:val="single" w:color="auto" w:sz="4" w:space="0"/>
              <w:right w:val="single" w:color="auto" w:sz="4" w:space="0"/>
            </w:tcBorders>
            <w:shd w:val="clear" w:color="auto" w:fill="auto"/>
            <w:noWrap w:val="0"/>
            <w:vAlign w:val="top"/>
          </w:tcPr>
          <w:p w14:paraId="4AF519E9">
            <w:pPr>
              <w:rPr>
                <w:rFonts w:hint="eastAsia" w:ascii="宋体" w:hAnsi="宋体" w:eastAsia="宋体" w:cs="宋体"/>
                <w:color w:val="auto"/>
                <w:sz w:val="24"/>
                <w:szCs w:val="24"/>
              </w:rPr>
            </w:pPr>
          </w:p>
        </w:tc>
        <w:tc>
          <w:tcPr>
            <w:tcW w:w="462" w:type="dxa"/>
            <w:gridSpan w:val="2"/>
            <w:vMerge w:val="continue"/>
            <w:tcBorders>
              <w:left w:val="single" w:color="auto" w:sz="4" w:space="0"/>
            </w:tcBorders>
            <w:shd w:val="clear" w:color="auto" w:fill="auto"/>
            <w:noWrap w:val="0"/>
            <w:vAlign w:val="top"/>
          </w:tcPr>
          <w:p w14:paraId="68A8550A">
            <w:pPr>
              <w:rPr>
                <w:rFonts w:hint="eastAsia" w:ascii="宋体" w:hAnsi="宋体" w:eastAsia="宋体" w:cs="宋体"/>
                <w:color w:val="auto"/>
                <w:sz w:val="24"/>
                <w:szCs w:val="24"/>
              </w:rPr>
            </w:pPr>
          </w:p>
        </w:tc>
      </w:tr>
      <w:tr w14:paraId="396E24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20" w:hRule="atLeast"/>
          <w:jc w:val="center"/>
        </w:trPr>
        <w:tc>
          <w:tcPr>
            <w:tcW w:w="457" w:type="dxa"/>
            <w:vMerge w:val="continue"/>
            <w:tcBorders>
              <w:right w:val="single" w:color="000000" w:sz="4" w:space="0"/>
            </w:tcBorders>
            <w:noWrap w:val="0"/>
            <w:vAlign w:val="center"/>
          </w:tcPr>
          <w:p w14:paraId="3B8BBB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eastAsia="zh-CN"/>
              </w:rPr>
            </w:pPr>
          </w:p>
        </w:tc>
        <w:tc>
          <w:tcPr>
            <w:tcW w:w="541" w:type="dxa"/>
            <w:vMerge w:val="continue"/>
            <w:tcBorders>
              <w:left w:val="single" w:color="000000" w:sz="4" w:space="0"/>
              <w:right w:val="single" w:color="000000" w:sz="4" w:space="0"/>
            </w:tcBorders>
            <w:noWrap w:val="0"/>
            <w:vAlign w:val="center"/>
          </w:tcPr>
          <w:p w14:paraId="530098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869F72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燃烧系统</w:t>
            </w:r>
          </w:p>
        </w:tc>
        <w:tc>
          <w:tcPr>
            <w:tcW w:w="6004" w:type="dxa"/>
            <w:tcBorders>
              <w:top w:val="single" w:color="000000" w:sz="4" w:space="0"/>
              <w:left w:val="single" w:color="000000" w:sz="4" w:space="0"/>
              <w:bottom w:val="single" w:color="000000" w:sz="4" w:space="0"/>
              <w:right w:val="single" w:color="auto" w:sz="4" w:space="0"/>
            </w:tcBorders>
            <w:noWrap w:val="0"/>
            <w:vAlign w:val="center"/>
          </w:tcPr>
          <w:p w14:paraId="071C59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1、燃料：轻柴油/天燃气(根据实际使用情况定制)。</w:t>
            </w:r>
          </w:p>
          <w:p w14:paraId="612D20C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2、火化时间要求：单具火化时间≤60分钟，连续火化时间≤45分钟/具</w:t>
            </w:r>
            <w:r>
              <w:rPr>
                <w:rFonts w:hint="eastAsia" w:ascii="宋体" w:hAnsi="宋体" w:eastAsia="宋体" w:cs="宋体"/>
                <w:color w:val="auto"/>
                <w:sz w:val="24"/>
                <w:szCs w:val="24"/>
                <w:lang w:eastAsia="zh-CN"/>
              </w:rPr>
              <w:t>。</w:t>
            </w:r>
          </w:p>
          <w:p w14:paraId="247ECE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3、火化能耗要求：轻柴油≤</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升/具，天燃气≤</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m³/具（连续火化）。</w:t>
            </w:r>
          </w:p>
          <w:p w14:paraId="57F5FC9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4、燃烧系统：主燃室应采用全自动燃烧器，点火完成后</w:t>
            </w:r>
            <w:r>
              <w:rPr>
                <w:rFonts w:hint="eastAsia" w:ascii="宋体" w:hAnsi="宋体" w:eastAsia="宋体" w:cs="宋体"/>
                <w:color w:val="auto"/>
                <w:sz w:val="24"/>
                <w:szCs w:val="24"/>
                <w:lang w:val="en-US" w:eastAsia="zh-CN"/>
              </w:rPr>
              <w:t>具</w:t>
            </w:r>
            <w:r>
              <w:rPr>
                <w:rFonts w:hint="eastAsia" w:ascii="宋体" w:hAnsi="宋体" w:eastAsia="宋体" w:cs="宋体"/>
                <w:color w:val="auto"/>
                <w:sz w:val="24"/>
                <w:szCs w:val="24"/>
              </w:rPr>
              <w:t>有</w:t>
            </w:r>
            <w:r>
              <w:rPr>
                <w:rFonts w:hint="eastAsia" w:ascii="宋体" w:hAnsi="宋体" w:eastAsia="宋体" w:cs="宋体"/>
                <w:color w:val="auto"/>
                <w:sz w:val="24"/>
                <w:szCs w:val="24"/>
                <w:lang w:val="en-US" w:eastAsia="zh-CN"/>
              </w:rPr>
              <w:t>自动</w:t>
            </w:r>
            <w:r>
              <w:rPr>
                <w:rFonts w:hint="eastAsia" w:ascii="宋体" w:hAnsi="宋体" w:eastAsia="宋体" w:cs="宋体"/>
                <w:color w:val="auto"/>
                <w:sz w:val="24"/>
                <w:szCs w:val="24"/>
              </w:rPr>
              <w:t>保护</w:t>
            </w:r>
            <w:r>
              <w:rPr>
                <w:rFonts w:hint="eastAsia" w:ascii="宋体" w:hAnsi="宋体" w:eastAsia="宋体" w:cs="宋体"/>
                <w:color w:val="auto"/>
                <w:sz w:val="24"/>
                <w:szCs w:val="24"/>
                <w:lang w:val="en-US" w:eastAsia="zh-CN"/>
              </w:rPr>
              <w:t>点火</w:t>
            </w:r>
            <w:r>
              <w:rPr>
                <w:rFonts w:hint="eastAsia" w:ascii="宋体" w:hAnsi="宋体" w:eastAsia="宋体" w:cs="宋体"/>
                <w:color w:val="auto"/>
                <w:sz w:val="24"/>
                <w:szCs w:val="24"/>
              </w:rPr>
              <w:t>装置。</w:t>
            </w:r>
          </w:p>
          <w:p w14:paraId="57E449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5、燃烧器火焰长度810—1100mm，可调节火焰大小。</w:t>
            </w:r>
          </w:p>
          <w:p w14:paraId="684A477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6、燃烧角度：上下可调&gt;30</w:t>
            </w:r>
            <w:r>
              <w:rPr>
                <w:rFonts w:hint="eastAsia" w:ascii="宋体" w:hAnsi="宋体" w:eastAsia="宋体" w:cs="宋体"/>
                <w:color w:val="auto"/>
                <w:sz w:val="24"/>
                <w:szCs w:val="24"/>
                <w:lang w:val="en-US" w:eastAsia="zh-CN"/>
              </w:rPr>
              <w:t>度</w:t>
            </w:r>
            <w:r>
              <w:rPr>
                <w:rFonts w:hint="eastAsia" w:ascii="宋体" w:hAnsi="宋体" w:eastAsia="宋体" w:cs="宋体"/>
                <w:color w:val="auto"/>
                <w:sz w:val="24"/>
                <w:szCs w:val="24"/>
              </w:rPr>
              <w:t>。</w:t>
            </w:r>
          </w:p>
          <w:p w14:paraId="3AD6BC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系统</w:t>
            </w:r>
            <w:r>
              <w:rPr>
                <w:rFonts w:hint="eastAsia" w:ascii="宋体" w:hAnsi="宋体" w:eastAsia="宋体" w:cs="宋体"/>
                <w:color w:val="auto"/>
                <w:sz w:val="24"/>
                <w:szCs w:val="24"/>
                <w:lang w:val="en-US" w:eastAsia="zh-CN"/>
              </w:rPr>
              <w:t>具</w:t>
            </w:r>
            <w:r>
              <w:rPr>
                <w:rFonts w:hint="eastAsia" w:ascii="宋体" w:hAnsi="宋体" w:eastAsia="宋体" w:cs="宋体"/>
                <w:color w:val="auto"/>
                <w:sz w:val="24"/>
                <w:szCs w:val="24"/>
              </w:rPr>
              <w:t>有</w:t>
            </w:r>
            <w:r>
              <w:rPr>
                <w:rFonts w:hint="eastAsia" w:ascii="宋体" w:hAnsi="宋体" w:eastAsia="宋体" w:cs="宋体"/>
                <w:color w:val="auto"/>
                <w:sz w:val="24"/>
                <w:szCs w:val="24"/>
                <w:lang w:val="en-US" w:eastAsia="zh-CN"/>
              </w:rPr>
              <w:t>超压</w:t>
            </w:r>
            <w:r>
              <w:rPr>
                <w:rFonts w:hint="eastAsia" w:ascii="宋体" w:hAnsi="宋体" w:eastAsia="宋体" w:cs="宋体"/>
                <w:color w:val="auto"/>
                <w:sz w:val="24"/>
                <w:szCs w:val="24"/>
              </w:rPr>
              <w:t>机械泄压装置，确保</w:t>
            </w:r>
            <w:r>
              <w:rPr>
                <w:rFonts w:hint="eastAsia" w:ascii="宋体" w:hAnsi="宋体" w:eastAsia="宋体" w:cs="宋体"/>
                <w:color w:val="auto"/>
                <w:sz w:val="24"/>
                <w:szCs w:val="24"/>
                <w:lang w:val="en-US" w:eastAsia="zh-CN"/>
              </w:rPr>
              <w:t>设备及</w:t>
            </w:r>
            <w:r>
              <w:rPr>
                <w:rFonts w:hint="eastAsia" w:ascii="宋体" w:hAnsi="宋体" w:eastAsia="宋体" w:cs="宋体"/>
                <w:color w:val="auto"/>
                <w:sz w:val="24"/>
                <w:szCs w:val="24"/>
              </w:rPr>
              <w:t>工作人员</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安全。</w:t>
            </w:r>
          </w:p>
          <w:p w14:paraId="5385020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、燃烧系统均应配置性能优异的过滤器、空气蝶阀、空燃比例调节阀等控制设备。</w:t>
            </w:r>
          </w:p>
        </w:tc>
        <w:tc>
          <w:tcPr>
            <w:tcW w:w="456" w:type="dxa"/>
            <w:vMerge w:val="continue"/>
            <w:tcBorders>
              <w:left w:val="single" w:color="auto" w:sz="4" w:space="0"/>
              <w:right w:val="single" w:color="auto" w:sz="4" w:space="0"/>
            </w:tcBorders>
            <w:shd w:val="clear" w:color="auto" w:fill="auto"/>
            <w:noWrap w:val="0"/>
            <w:vAlign w:val="top"/>
          </w:tcPr>
          <w:p w14:paraId="6F7E7630">
            <w:pPr>
              <w:rPr>
                <w:rFonts w:hint="eastAsia" w:ascii="宋体" w:hAnsi="宋体" w:eastAsia="宋体" w:cs="宋体"/>
                <w:color w:val="auto"/>
                <w:sz w:val="24"/>
                <w:szCs w:val="24"/>
                <w:lang w:val="en-US" w:eastAsia="zh-CN"/>
              </w:rPr>
            </w:pPr>
          </w:p>
        </w:tc>
        <w:tc>
          <w:tcPr>
            <w:tcW w:w="462" w:type="dxa"/>
            <w:gridSpan w:val="2"/>
            <w:vMerge w:val="continue"/>
            <w:tcBorders>
              <w:left w:val="single" w:color="auto" w:sz="4" w:space="0"/>
            </w:tcBorders>
            <w:shd w:val="clear" w:color="auto" w:fill="auto"/>
            <w:noWrap w:val="0"/>
            <w:vAlign w:val="top"/>
          </w:tcPr>
          <w:p w14:paraId="682EF2C3">
            <w:pPr>
              <w:rPr>
                <w:rFonts w:hint="eastAsia" w:ascii="宋体" w:hAnsi="宋体" w:eastAsia="宋体" w:cs="宋体"/>
                <w:color w:val="auto"/>
                <w:sz w:val="24"/>
                <w:szCs w:val="24"/>
                <w:lang w:val="en-US" w:eastAsia="zh-CN"/>
              </w:rPr>
            </w:pPr>
          </w:p>
        </w:tc>
      </w:tr>
      <w:tr w14:paraId="1229F9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457" w:type="dxa"/>
            <w:vMerge w:val="continue"/>
            <w:tcBorders>
              <w:right w:val="single" w:color="000000" w:sz="4" w:space="0"/>
            </w:tcBorders>
            <w:noWrap w:val="0"/>
            <w:vAlign w:val="center"/>
          </w:tcPr>
          <w:p w14:paraId="3590C76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eastAsia="zh-CN"/>
              </w:rPr>
            </w:pPr>
          </w:p>
        </w:tc>
        <w:tc>
          <w:tcPr>
            <w:tcW w:w="541" w:type="dxa"/>
            <w:vMerge w:val="continue"/>
            <w:tcBorders>
              <w:left w:val="single" w:color="000000" w:sz="4" w:space="0"/>
              <w:right w:val="single" w:color="000000" w:sz="4" w:space="0"/>
            </w:tcBorders>
            <w:noWrap w:val="0"/>
            <w:vAlign w:val="center"/>
          </w:tcPr>
          <w:p w14:paraId="5F5CDF1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A6BAD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供气系统</w:t>
            </w:r>
          </w:p>
        </w:tc>
        <w:tc>
          <w:tcPr>
            <w:tcW w:w="6004" w:type="dxa"/>
            <w:tcBorders>
              <w:top w:val="single" w:color="000000" w:sz="4" w:space="0"/>
              <w:left w:val="single" w:color="000000" w:sz="4" w:space="0"/>
              <w:bottom w:val="single" w:color="000000" w:sz="4" w:space="0"/>
              <w:right w:val="single" w:color="auto" w:sz="4" w:space="0"/>
            </w:tcBorders>
            <w:noWrap w:val="0"/>
            <w:vAlign w:val="center"/>
          </w:tcPr>
          <w:p w14:paraId="7295AE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1、鼓风机采用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7.5KW功率的高压风机，鼓风机风量：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1200m³/h；风压：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11000Pa；噪音：80分贝以下。</w:t>
            </w:r>
          </w:p>
          <w:p w14:paraId="196CAB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2、管道干净，风道的调节阀完整严密，开关灵活，启闭度指示准确。</w:t>
            </w:r>
          </w:p>
          <w:p w14:paraId="7778D44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3、助燃风管使用耐高温不锈钢制作，采用一级预热装置预热。</w:t>
            </w:r>
          </w:p>
          <w:p w14:paraId="7FC54D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4、炉体布局风管应排列整齐、平顺、有固定点、不漏风、油漆颜色一致。</w:t>
            </w:r>
          </w:p>
        </w:tc>
        <w:tc>
          <w:tcPr>
            <w:tcW w:w="456" w:type="dxa"/>
            <w:vMerge w:val="continue"/>
            <w:tcBorders>
              <w:left w:val="single" w:color="auto" w:sz="4" w:space="0"/>
              <w:right w:val="single" w:color="auto" w:sz="4" w:space="0"/>
            </w:tcBorders>
            <w:shd w:val="clear" w:color="auto" w:fill="auto"/>
            <w:noWrap w:val="0"/>
            <w:vAlign w:val="top"/>
          </w:tcPr>
          <w:p w14:paraId="2F749D60">
            <w:pPr>
              <w:rPr>
                <w:rFonts w:hint="eastAsia" w:ascii="宋体" w:hAnsi="宋体" w:eastAsia="宋体" w:cs="宋体"/>
                <w:color w:val="auto"/>
                <w:sz w:val="24"/>
                <w:szCs w:val="24"/>
              </w:rPr>
            </w:pPr>
          </w:p>
        </w:tc>
        <w:tc>
          <w:tcPr>
            <w:tcW w:w="462" w:type="dxa"/>
            <w:gridSpan w:val="2"/>
            <w:vMerge w:val="continue"/>
            <w:tcBorders>
              <w:left w:val="single" w:color="auto" w:sz="4" w:space="0"/>
            </w:tcBorders>
            <w:shd w:val="clear" w:color="auto" w:fill="auto"/>
            <w:noWrap w:val="0"/>
            <w:vAlign w:val="top"/>
          </w:tcPr>
          <w:p w14:paraId="3621600C">
            <w:pPr>
              <w:rPr>
                <w:rFonts w:hint="eastAsia" w:ascii="宋体" w:hAnsi="宋体" w:eastAsia="宋体" w:cs="宋体"/>
                <w:color w:val="auto"/>
                <w:sz w:val="24"/>
                <w:szCs w:val="24"/>
              </w:rPr>
            </w:pPr>
          </w:p>
        </w:tc>
      </w:tr>
      <w:tr w14:paraId="41FF1E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97" w:hRule="atLeast"/>
          <w:jc w:val="center"/>
        </w:trPr>
        <w:tc>
          <w:tcPr>
            <w:tcW w:w="457" w:type="dxa"/>
            <w:vMerge w:val="continue"/>
            <w:tcBorders>
              <w:right w:val="single" w:color="000000" w:sz="4" w:space="0"/>
            </w:tcBorders>
            <w:noWrap w:val="0"/>
            <w:vAlign w:val="center"/>
          </w:tcPr>
          <w:p w14:paraId="1E90C6A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val="en-US" w:eastAsia="zh-CN"/>
              </w:rPr>
            </w:pPr>
          </w:p>
        </w:tc>
        <w:tc>
          <w:tcPr>
            <w:tcW w:w="541" w:type="dxa"/>
            <w:vMerge w:val="continue"/>
            <w:tcBorders>
              <w:left w:val="single" w:color="000000" w:sz="4" w:space="0"/>
              <w:right w:val="single" w:color="000000" w:sz="4" w:space="0"/>
            </w:tcBorders>
            <w:noWrap w:val="0"/>
            <w:vAlign w:val="center"/>
          </w:tcPr>
          <w:p w14:paraId="42BF7A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9AC578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供油系统</w:t>
            </w:r>
          </w:p>
        </w:tc>
        <w:tc>
          <w:tcPr>
            <w:tcW w:w="6004" w:type="dxa"/>
            <w:tcBorders>
              <w:top w:val="single" w:color="000000" w:sz="4" w:space="0"/>
              <w:left w:val="single" w:color="000000" w:sz="4" w:space="0"/>
              <w:bottom w:val="single" w:color="000000" w:sz="4" w:space="0"/>
              <w:right w:val="single" w:color="auto" w:sz="4" w:space="0"/>
            </w:tcBorders>
            <w:noWrap w:val="0"/>
            <w:vAlign w:val="center"/>
          </w:tcPr>
          <w:p w14:paraId="1B9C34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1、储油罐尺寸：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L</w:t>
            </w:r>
            <w:r>
              <w:rPr>
                <w:rFonts w:hint="eastAsia" w:ascii="宋体" w:hAnsi="宋体" w:eastAsia="宋体" w:cs="宋体"/>
                <w:color w:val="auto"/>
                <w:sz w:val="24"/>
                <w:szCs w:val="24"/>
              </w:rPr>
              <w:t>1500mm</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φ</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0mm</w:t>
            </w:r>
            <w:r>
              <w:rPr>
                <w:rFonts w:hint="eastAsia" w:ascii="宋体" w:hAnsi="宋体" w:eastAsia="宋体" w:cs="宋体"/>
                <w:color w:val="auto"/>
                <w:sz w:val="24"/>
                <w:szCs w:val="24"/>
                <w:lang w:eastAsia="zh-CN"/>
              </w:rPr>
              <w:t>（根据现场情况配送），</w:t>
            </w:r>
            <w:r>
              <w:rPr>
                <w:rFonts w:hint="eastAsia" w:ascii="宋体" w:hAnsi="宋体" w:eastAsia="宋体" w:cs="宋体"/>
                <w:color w:val="auto"/>
                <w:sz w:val="24"/>
                <w:szCs w:val="24"/>
              </w:rPr>
              <w:t>采用优质特殊钢板</w:t>
            </w:r>
            <w:r>
              <w:rPr>
                <w:rFonts w:hint="eastAsia" w:ascii="宋体" w:hAnsi="宋体" w:eastAsia="宋体" w:cs="宋体"/>
                <w:color w:val="auto"/>
                <w:sz w:val="24"/>
                <w:szCs w:val="24"/>
                <w:lang w:eastAsia="zh-CN"/>
              </w:rPr>
              <w:t>厚度：≥</w:t>
            </w:r>
            <w:r>
              <w:rPr>
                <w:rFonts w:hint="eastAsia" w:ascii="宋体" w:hAnsi="宋体" w:eastAsia="宋体" w:cs="宋体"/>
                <w:color w:val="auto"/>
                <w:sz w:val="24"/>
                <w:szCs w:val="24"/>
                <w:lang w:val="en-US" w:eastAsia="zh-CN"/>
              </w:rPr>
              <w:t>3.0mm</w:t>
            </w:r>
            <w:r>
              <w:rPr>
                <w:rFonts w:hint="eastAsia" w:ascii="宋体" w:hAnsi="宋体" w:eastAsia="宋体" w:cs="宋体"/>
                <w:color w:val="auto"/>
                <w:sz w:val="24"/>
                <w:szCs w:val="24"/>
              </w:rPr>
              <w:t>，经激光切割下料，精加工成形，经酸洗-水洗-表调-磷化-烘干等工艺及喷漆工艺处理。</w:t>
            </w:r>
          </w:p>
          <w:p w14:paraId="06A672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2、全容积：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1m³，装料系数：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0.95，压力系数：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0.1MPa，盛油量：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860KG。</w:t>
            </w:r>
          </w:p>
          <w:p w14:paraId="62B129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3、燃烧器、油路、滤网及各针型阀、电磁阀接头，无堵塞或泄漏。</w:t>
            </w:r>
          </w:p>
        </w:tc>
        <w:tc>
          <w:tcPr>
            <w:tcW w:w="456" w:type="dxa"/>
            <w:vMerge w:val="continue"/>
            <w:tcBorders>
              <w:left w:val="single" w:color="auto" w:sz="4" w:space="0"/>
              <w:right w:val="single" w:color="auto" w:sz="4" w:space="0"/>
            </w:tcBorders>
            <w:shd w:val="clear" w:color="auto" w:fill="auto"/>
            <w:noWrap w:val="0"/>
            <w:vAlign w:val="top"/>
          </w:tcPr>
          <w:p w14:paraId="3A0C7988">
            <w:pPr>
              <w:rPr>
                <w:rFonts w:hint="eastAsia" w:ascii="宋体" w:hAnsi="宋体" w:eastAsia="宋体" w:cs="宋体"/>
                <w:color w:val="auto"/>
                <w:sz w:val="24"/>
                <w:szCs w:val="24"/>
              </w:rPr>
            </w:pPr>
          </w:p>
        </w:tc>
        <w:tc>
          <w:tcPr>
            <w:tcW w:w="462" w:type="dxa"/>
            <w:gridSpan w:val="2"/>
            <w:vMerge w:val="continue"/>
            <w:tcBorders>
              <w:left w:val="single" w:color="auto" w:sz="4" w:space="0"/>
            </w:tcBorders>
            <w:shd w:val="clear" w:color="auto" w:fill="auto"/>
            <w:noWrap w:val="0"/>
            <w:vAlign w:val="top"/>
          </w:tcPr>
          <w:p w14:paraId="2682C0BD">
            <w:pPr>
              <w:rPr>
                <w:rFonts w:hint="eastAsia" w:ascii="宋体" w:hAnsi="宋体" w:eastAsia="宋体" w:cs="宋体"/>
                <w:color w:val="auto"/>
                <w:sz w:val="24"/>
                <w:szCs w:val="24"/>
              </w:rPr>
            </w:pPr>
          </w:p>
        </w:tc>
      </w:tr>
      <w:tr w14:paraId="369A60F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996" w:hRule="atLeast"/>
          <w:jc w:val="center"/>
        </w:trPr>
        <w:tc>
          <w:tcPr>
            <w:tcW w:w="457" w:type="dxa"/>
            <w:vMerge w:val="continue"/>
            <w:tcBorders>
              <w:right w:val="single" w:color="000000" w:sz="4" w:space="0"/>
            </w:tcBorders>
            <w:noWrap w:val="0"/>
            <w:vAlign w:val="center"/>
          </w:tcPr>
          <w:p w14:paraId="582E02F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val="en-US" w:eastAsia="zh-CN"/>
              </w:rPr>
            </w:pPr>
          </w:p>
        </w:tc>
        <w:tc>
          <w:tcPr>
            <w:tcW w:w="541" w:type="dxa"/>
            <w:vMerge w:val="continue"/>
            <w:tcBorders>
              <w:left w:val="single" w:color="000000" w:sz="4" w:space="0"/>
              <w:right w:val="single" w:color="000000" w:sz="4" w:space="0"/>
            </w:tcBorders>
            <w:noWrap w:val="0"/>
            <w:vAlign w:val="center"/>
          </w:tcPr>
          <w:p w14:paraId="30FB0FB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6C0FA7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排烟系统</w:t>
            </w:r>
          </w:p>
        </w:tc>
        <w:tc>
          <w:tcPr>
            <w:tcW w:w="6004" w:type="dxa"/>
            <w:tcBorders>
              <w:top w:val="single" w:color="000000" w:sz="4" w:space="0"/>
              <w:left w:val="single" w:color="000000" w:sz="4" w:space="0"/>
              <w:bottom w:val="single" w:color="000000" w:sz="4" w:space="0"/>
              <w:right w:val="single" w:color="auto" w:sz="4" w:space="0"/>
            </w:tcBorders>
            <w:noWrap w:val="0"/>
            <w:vAlign w:val="center"/>
          </w:tcPr>
          <w:p w14:paraId="449C2472">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烟道设计结构合理，参考尺寸：烟道净宽700mm,净高800mm。主体结构层底部之间使用泥浆摊铺厚度50mm的垫层。</w:t>
            </w:r>
          </w:p>
          <w:p w14:paraId="4C01C69B">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防水层采用3mm优质不锈钢板焊接成形。</w:t>
            </w:r>
          </w:p>
          <w:p w14:paraId="01F55165">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隔热层使用耐高温硅酸铝纤维毡，抹耐火水泥多层粘制，厚度80mm。</w:t>
            </w:r>
          </w:p>
          <w:p w14:paraId="1CA254A0">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rPr>
              <w:t>保温隔使用热层耐高温硅酸铝纤维毡，抹耐火水泥多层粘制。</w:t>
            </w:r>
          </w:p>
          <w:p w14:paraId="57BC6C8A">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rPr>
              <w:t>耐火层使用一级黏土耐火砖砌墙，墙体厚度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230mm，耐火砖的灰缝不大于 3mm，应保证不漏气。</w:t>
            </w:r>
          </w:p>
          <w:p w14:paraId="119F93B7">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rPr>
              <w:t>烟道设清灰口，位置合理，清灰方便。</w:t>
            </w:r>
          </w:p>
          <w:p w14:paraId="46F970BE">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rPr>
              <w:t>烟道顶部为拱形设计，采用耐火</w:t>
            </w:r>
            <w:r>
              <w:rPr>
                <w:rFonts w:hint="eastAsia" w:ascii="宋体" w:hAnsi="宋体" w:eastAsia="宋体" w:cs="宋体"/>
                <w:color w:val="auto"/>
                <w:sz w:val="24"/>
                <w:szCs w:val="24"/>
                <w:lang w:eastAsia="zh-CN"/>
              </w:rPr>
              <w:t>楔形砖彻</w:t>
            </w:r>
            <w:r>
              <w:rPr>
                <w:rFonts w:hint="eastAsia" w:ascii="宋体" w:hAnsi="宋体" w:eastAsia="宋体" w:cs="宋体"/>
                <w:color w:val="auto"/>
                <w:sz w:val="24"/>
                <w:szCs w:val="24"/>
              </w:rPr>
              <w:t>筑，厚度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115</w:t>
            </w:r>
            <w:r>
              <w:rPr>
                <w:rFonts w:hint="eastAsia" w:ascii="宋体" w:hAnsi="宋体" w:eastAsia="宋体" w:cs="宋体"/>
                <w:color w:val="auto"/>
                <w:sz w:val="24"/>
                <w:szCs w:val="24"/>
              </w:rPr>
              <w:t>mm</w:t>
            </w:r>
            <w:r>
              <w:rPr>
                <w:rFonts w:hint="eastAsia" w:ascii="宋体" w:hAnsi="宋体" w:eastAsia="宋体" w:cs="宋体"/>
                <w:color w:val="auto"/>
                <w:sz w:val="24"/>
                <w:szCs w:val="24"/>
                <w:lang w:eastAsia="zh-CN"/>
              </w:rPr>
              <w:t>，再用耐火泥浇筑</w:t>
            </w:r>
            <w:r>
              <w:rPr>
                <w:rFonts w:hint="eastAsia" w:ascii="宋体" w:hAnsi="宋体" w:eastAsia="宋体" w:cs="宋体"/>
                <w:color w:val="auto"/>
                <w:sz w:val="24"/>
                <w:szCs w:val="24"/>
              </w:rPr>
              <w:t>覆盖，厚度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65</w:t>
            </w:r>
            <w:r>
              <w:rPr>
                <w:rFonts w:hint="eastAsia" w:ascii="宋体" w:hAnsi="宋体" w:eastAsia="宋体" w:cs="宋体"/>
                <w:color w:val="auto"/>
                <w:sz w:val="24"/>
                <w:szCs w:val="24"/>
              </w:rPr>
              <w:t>mm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另铺设耐高温纤维棉整体保温。</w:t>
            </w:r>
          </w:p>
          <w:p w14:paraId="09FA5792">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8、</w:t>
            </w:r>
            <w:r>
              <w:rPr>
                <w:rFonts w:hint="eastAsia" w:ascii="宋体" w:hAnsi="宋体" w:eastAsia="宋体" w:cs="宋体"/>
                <w:color w:val="auto"/>
                <w:sz w:val="24"/>
                <w:szCs w:val="24"/>
              </w:rPr>
              <w:t>烟道出烟口和尾气连接管，采用不小于3毫米厚优质钢板卷制，必须密封效果好，不漏烟。</w:t>
            </w:r>
          </w:p>
          <w:p w14:paraId="1C4FC47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9、</w:t>
            </w:r>
            <w:r>
              <w:rPr>
                <w:rFonts w:hint="eastAsia" w:ascii="宋体" w:hAnsi="宋体" w:eastAsia="宋体" w:cs="宋体"/>
                <w:color w:val="auto"/>
                <w:sz w:val="24"/>
                <w:szCs w:val="24"/>
              </w:rPr>
              <w:t>烟道施工：严格按烟道设计图施工砌筑，根据《建筑与市政工程防水通用规范》GB55030-2022，防水混凝土抗压强度等级不低于C25；根据《中建主体结构防水施工验收规范》抗渗等级不低于P6。</w:t>
            </w:r>
          </w:p>
        </w:tc>
        <w:tc>
          <w:tcPr>
            <w:tcW w:w="456" w:type="dxa"/>
            <w:vMerge w:val="continue"/>
            <w:tcBorders>
              <w:left w:val="single" w:color="auto" w:sz="4" w:space="0"/>
              <w:right w:val="single" w:color="auto" w:sz="4" w:space="0"/>
            </w:tcBorders>
            <w:shd w:val="clear" w:color="auto" w:fill="auto"/>
            <w:noWrap w:val="0"/>
            <w:vAlign w:val="top"/>
          </w:tcPr>
          <w:p w14:paraId="7EC745C0">
            <w:pPr>
              <w:rPr>
                <w:rFonts w:hint="eastAsia" w:ascii="宋体" w:hAnsi="宋体" w:eastAsia="宋体" w:cs="宋体"/>
                <w:color w:val="auto"/>
                <w:kern w:val="2"/>
                <w:sz w:val="24"/>
                <w:szCs w:val="24"/>
                <w:lang w:val="en-US" w:eastAsia="zh-CN" w:bidi="ar-SA"/>
              </w:rPr>
            </w:pPr>
          </w:p>
        </w:tc>
        <w:tc>
          <w:tcPr>
            <w:tcW w:w="462" w:type="dxa"/>
            <w:gridSpan w:val="2"/>
            <w:vMerge w:val="continue"/>
            <w:tcBorders>
              <w:left w:val="single" w:color="auto" w:sz="4" w:space="0"/>
            </w:tcBorders>
            <w:shd w:val="clear" w:color="auto" w:fill="auto"/>
            <w:noWrap w:val="0"/>
            <w:vAlign w:val="top"/>
          </w:tcPr>
          <w:p w14:paraId="116A0726">
            <w:pPr>
              <w:rPr>
                <w:rFonts w:hint="eastAsia" w:ascii="宋体" w:hAnsi="宋体" w:eastAsia="宋体" w:cs="宋体"/>
                <w:color w:val="auto"/>
                <w:kern w:val="2"/>
                <w:sz w:val="24"/>
                <w:szCs w:val="24"/>
                <w:lang w:val="en-US" w:eastAsia="zh-CN" w:bidi="ar-SA"/>
              </w:rPr>
            </w:pPr>
          </w:p>
        </w:tc>
      </w:tr>
      <w:tr w14:paraId="5C9B078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457" w:type="dxa"/>
            <w:vMerge w:val="continue"/>
            <w:tcBorders>
              <w:right w:val="single" w:color="000000" w:sz="4" w:space="0"/>
            </w:tcBorders>
            <w:noWrap w:val="0"/>
            <w:vAlign w:val="center"/>
          </w:tcPr>
          <w:p w14:paraId="333B9DE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val="en-US" w:eastAsia="zh-CN"/>
              </w:rPr>
            </w:pPr>
          </w:p>
        </w:tc>
        <w:tc>
          <w:tcPr>
            <w:tcW w:w="541" w:type="dxa"/>
            <w:vMerge w:val="continue"/>
            <w:tcBorders>
              <w:left w:val="single" w:color="000000" w:sz="4" w:space="0"/>
              <w:right w:val="single" w:color="000000" w:sz="4" w:space="0"/>
            </w:tcBorders>
            <w:noWrap w:val="0"/>
            <w:vAlign w:val="center"/>
          </w:tcPr>
          <w:p w14:paraId="6F77FA7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D655DF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智能控制系统</w:t>
            </w:r>
          </w:p>
        </w:tc>
        <w:tc>
          <w:tcPr>
            <w:tcW w:w="6004" w:type="dxa"/>
            <w:tcBorders>
              <w:top w:val="single" w:color="000000" w:sz="4" w:space="0"/>
              <w:left w:val="single" w:color="000000" w:sz="4" w:space="0"/>
              <w:bottom w:val="single" w:color="000000" w:sz="4" w:space="0"/>
              <w:right w:val="single" w:color="auto" w:sz="4" w:space="0"/>
            </w:tcBorders>
            <w:noWrap w:val="0"/>
            <w:vAlign w:val="center"/>
          </w:tcPr>
          <w:p w14:paraId="38568AC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1、实时采集火化机炉膛温度、炉膛负压、布袋温度等关键参数，为系统控制提供准确的实时数据。</w:t>
            </w:r>
          </w:p>
          <w:p w14:paraId="669F63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2、具有自动、手动、点动三种模式，模式间可无扰切换。</w:t>
            </w:r>
          </w:p>
          <w:p w14:paraId="13289E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3、按照火化工艺逻辑控制送尸系统、炉膛负压、供风系统、点火系统、燃料供给等执行机构的动作，实现火化过程的各个阶段切换，各执行机构之间的动作顺序和时间关系，确保火化机各部件安全、稳定运行。</w:t>
            </w:r>
          </w:p>
          <w:p w14:paraId="437D046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实时监测火化机运行过程中的异常情况（如温度异常、压力异常、电机过载等），立即将故障信息发送给触摸屏，触摸屏以声光报警的方式提醒操作人员，并显示和记录故障详细信息；操作人员可以通过触摸屏查看故障历史数据和进行故障复位等操作。</w:t>
            </w:r>
          </w:p>
          <w:p w14:paraId="0D13D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5、可以通过工业以太网、RS-485等与外部设备（触摸屏、监控计算机、其他职能设备等）进行通信，实现数据的传输和共享。</w:t>
            </w:r>
          </w:p>
          <w:p w14:paraId="53E45C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6、操作人员可以通过触摸屏方便的控制火化机的各执行机构和参数数值设定；实时显示火化机的运行状态，包括炉膛温度、炉膛负压、布袋温度、火化时间</w:t>
            </w:r>
            <w:r>
              <w:rPr>
                <w:rFonts w:hint="eastAsia" w:ascii="宋体" w:hAnsi="宋体" w:eastAsia="宋体" w:cs="宋体"/>
                <w:color w:val="000000" w:themeColor="text1"/>
                <w:sz w:val="24"/>
                <w:szCs w:val="24"/>
                <w:lang w:val="en-US" w:eastAsia="zh-CN"/>
                <w14:textFill>
                  <w14:solidFill>
                    <w14:schemeClr w14:val="tx1"/>
                  </w14:solidFill>
                </w14:textFill>
              </w:rPr>
              <w:t>、各执行机构的工作状态、报警信息等。</w:t>
            </w:r>
          </w:p>
          <w:p w14:paraId="4B65EAD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7、所用电线应采用铜芯聚氯乙烯绝缘软电缆，导体材料应为铜导体。</w:t>
            </w:r>
          </w:p>
        </w:tc>
        <w:tc>
          <w:tcPr>
            <w:tcW w:w="456" w:type="dxa"/>
            <w:vMerge w:val="continue"/>
            <w:tcBorders>
              <w:left w:val="single" w:color="auto" w:sz="4" w:space="0"/>
              <w:right w:val="single" w:color="auto" w:sz="4" w:space="0"/>
            </w:tcBorders>
            <w:shd w:val="clear" w:color="auto" w:fill="auto"/>
            <w:noWrap w:val="0"/>
            <w:vAlign w:val="top"/>
          </w:tcPr>
          <w:p w14:paraId="74FCD796">
            <w:pP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2" w:type="dxa"/>
            <w:gridSpan w:val="2"/>
            <w:vMerge w:val="continue"/>
            <w:tcBorders>
              <w:left w:val="single" w:color="auto" w:sz="4" w:space="0"/>
            </w:tcBorders>
            <w:shd w:val="clear" w:color="auto" w:fill="auto"/>
            <w:noWrap w:val="0"/>
            <w:vAlign w:val="top"/>
          </w:tcPr>
          <w:p w14:paraId="75DF9E8A">
            <w:pP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8F3E67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35" w:hRule="atLeast"/>
          <w:jc w:val="center"/>
        </w:trPr>
        <w:tc>
          <w:tcPr>
            <w:tcW w:w="457" w:type="dxa"/>
            <w:vMerge w:val="continue"/>
            <w:tcBorders>
              <w:right w:val="single" w:color="000000" w:sz="4" w:space="0"/>
            </w:tcBorders>
            <w:noWrap w:val="0"/>
            <w:vAlign w:val="center"/>
          </w:tcPr>
          <w:p w14:paraId="2CFE3A0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val="en-US" w:eastAsia="zh-CN"/>
              </w:rPr>
            </w:pPr>
          </w:p>
        </w:tc>
        <w:tc>
          <w:tcPr>
            <w:tcW w:w="541" w:type="dxa"/>
            <w:vMerge w:val="continue"/>
            <w:tcBorders>
              <w:left w:val="single" w:color="000000" w:sz="4" w:space="0"/>
              <w:right w:val="single" w:color="000000" w:sz="4" w:space="0"/>
            </w:tcBorders>
            <w:noWrap w:val="0"/>
            <w:vAlign w:val="center"/>
          </w:tcPr>
          <w:p w14:paraId="76C7276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56ADE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使用寿命</w:t>
            </w:r>
          </w:p>
        </w:tc>
        <w:tc>
          <w:tcPr>
            <w:tcW w:w="6004" w:type="dxa"/>
            <w:tcBorders>
              <w:top w:val="single" w:color="000000" w:sz="4" w:space="0"/>
              <w:left w:val="single" w:color="000000" w:sz="4" w:space="0"/>
              <w:bottom w:val="single" w:color="000000" w:sz="4" w:space="0"/>
              <w:right w:val="single" w:color="auto" w:sz="4" w:space="0"/>
            </w:tcBorders>
            <w:noWrap w:val="0"/>
            <w:vAlign w:val="center"/>
          </w:tcPr>
          <w:p w14:paraId="59D4A8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设备正常使用</w:t>
            </w:r>
            <w:r>
              <w:rPr>
                <w:rFonts w:hint="eastAsia" w:ascii="宋体" w:hAnsi="宋体" w:eastAsia="宋体" w:cs="宋体"/>
                <w:color w:val="auto"/>
                <w:sz w:val="24"/>
                <w:szCs w:val="24"/>
                <w:lang w:eastAsia="zh-CN"/>
              </w:rPr>
              <w:t>大</w:t>
            </w:r>
            <w:r>
              <w:rPr>
                <w:rFonts w:hint="eastAsia" w:ascii="宋体" w:hAnsi="宋体" w:eastAsia="宋体" w:cs="宋体"/>
                <w:color w:val="auto"/>
                <w:sz w:val="24"/>
                <w:szCs w:val="24"/>
              </w:rPr>
              <w:t>修期：</w:t>
            </w:r>
            <w:r>
              <w:rPr>
                <w:rFonts w:hint="eastAsia" w:ascii="宋体" w:hAnsi="宋体" w:eastAsia="宋体" w:cs="宋体"/>
                <w:color w:val="auto"/>
                <w:sz w:val="24"/>
                <w:szCs w:val="24"/>
                <w:lang w:val="en-US" w:eastAsia="zh-CN"/>
              </w:rPr>
              <w:t>两年。</w:t>
            </w:r>
          </w:p>
          <w:p w14:paraId="26D8F2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设备正常使用寿命：</w:t>
            </w:r>
            <w:r>
              <w:rPr>
                <w:rFonts w:hint="eastAsia" w:ascii="宋体" w:hAnsi="宋体" w:eastAsia="宋体" w:cs="宋体"/>
                <w:color w:val="auto"/>
                <w:sz w:val="24"/>
                <w:szCs w:val="24"/>
                <w:lang w:val="en-US" w:eastAsia="zh-CN"/>
              </w:rPr>
              <w:t>128</w:t>
            </w:r>
            <w:r>
              <w:rPr>
                <w:rFonts w:hint="eastAsia" w:ascii="宋体" w:hAnsi="宋体" w:eastAsia="宋体" w:cs="宋体"/>
                <w:color w:val="auto"/>
                <w:sz w:val="24"/>
                <w:szCs w:val="24"/>
              </w:rPr>
              <w:t>00-15000具或10年。</w:t>
            </w:r>
          </w:p>
        </w:tc>
        <w:tc>
          <w:tcPr>
            <w:tcW w:w="456" w:type="dxa"/>
            <w:vMerge w:val="continue"/>
            <w:tcBorders>
              <w:left w:val="single" w:color="auto" w:sz="4" w:space="0"/>
              <w:right w:val="single" w:color="auto" w:sz="4" w:space="0"/>
            </w:tcBorders>
            <w:shd w:val="clear" w:color="auto" w:fill="auto"/>
            <w:noWrap w:val="0"/>
            <w:vAlign w:val="top"/>
          </w:tcPr>
          <w:p w14:paraId="614C4B0E">
            <w:pPr>
              <w:rPr>
                <w:rFonts w:hint="eastAsia" w:ascii="宋体" w:hAnsi="宋体" w:eastAsia="宋体" w:cs="宋体"/>
                <w:color w:val="auto"/>
                <w:sz w:val="24"/>
                <w:szCs w:val="24"/>
              </w:rPr>
            </w:pPr>
          </w:p>
        </w:tc>
        <w:tc>
          <w:tcPr>
            <w:tcW w:w="462" w:type="dxa"/>
            <w:gridSpan w:val="2"/>
            <w:vMerge w:val="continue"/>
            <w:tcBorders>
              <w:left w:val="single" w:color="auto" w:sz="4" w:space="0"/>
            </w:tcBorders>
            <w:shd w:val="clear" w:color="auto" w:fill="auto"/>
            <w:noWrap w:val="0"/>
            <w:vAlign w:val="top"/>
          </w:tcPr>
          <w:p w14:paraId="26B1311B">
            <w:pPr>
              <w:rPr>
                <w:rFonts w:hint="eastAsia" w:ascii="宋体" w:hAnsi="宋体" w:eastAsia="宋体" w:cs="宋体"/>
                <w:color w:val="auto"/>
                <w:sz w:val="24"/>
                <w:szCs w:val="24"/>
              </w:rPr>
            </w:pPr>
          </w:p>
        </w:tc>
      </w:tr>
      <w:tr w14:paraId="14166D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01" w:hRule="atLeast"/>
          <w:jc w:val="center"/>
        </w:trPr>
        <w:tc>
          <w:tcPr>
            <w:tcW w:w="457" w:type="dxa"/>
            <w:vMerge w:val="continue"/>
            <w:tcBorders>
              <w:right w:val="single" w:color="000000" w:sz="4" w:space="0"/>
            </w:tcBorders>
            <w:noWrap w:val="0"/>
            <w:vAlign w:val="center"/>
          </w:tcPr>
          <w:p w14:paraId="377498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val="en-US" w:eastAsia="zh-CN"/>
              </w:rPr>
            </w:pPr>
          </w:p>
        </w:tc>
        <w:tc>
          <w:tcPr>
            <w:tcW w:w="541" w:type="dxa"/>
            <w:vMerge w:val="continue"/>
            <w:tcBorders>
              <w:left w:val="single" w:color="000000" w:sz="4" w:space="0"/>
              <w:right w:val="single" w:color="000000" w:sz="4" w:space="0"/>
            </w:tcBorders>
            <w:noWrap w:val="0"/>
            <w:vAlign w:val="center"/>
          </w:tcPr>
          <w:p w14:paraId="50EA9D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4A198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总功率</w:t>
            </w:r>
          </w:p>
        </w:tc>
        <w:tc>
          <w:tcPr>
            <w:tcW w:w="6004" w:type="dxa"/>
            <w:tcBorders>
              <w:top w:val="single" w:color="000000" w:sz="4" w:space="0"/>
              <w:left w:val="single" w:color="000000" w:sz="4" w:space="0"/>
              <w:bottom w:val="single" w:color="000000" w:sz="4" w:space="0"/>
              <w:right w:val="single" w:color="auto" w:sz="4" w:space="0"/>
            </w:tcBorders>
            <w:noWrap w:val="0"/>
            <w:vAlign w:val="center"/>
          </w:tcPr>
          <w:p w14:paraId="535FA8A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设备总用电功率：≤</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KW。</w:t>
            </w:r>
          </w:p>
        </w:tc>
        <w:tc>
          <w:tcPr>
            <w:tcW w:w="456" w:type="dxa"/>
            <w:vMerge w:val="continue"/>
            <w:tcBorders>
              <w:left w:val="single" w:color="auto" w:sz="4" w:space="0"/>
              <w:right w:val="single" w:color="auto" w:sz="4" w:space="0"/>
            </w:tcBorders>
            <w:shd w:val="clear" w:color="auto" w:fill="auto"/>
            <w:noWrap w:val="0"/>
            <w:vAlign w:val="top"/>
          </w:tcPr>
          <w:p w14:paraId="21706EF4">
            <w:pPr>
              <w:rPr>
                <w:rFonts w:hint="eastAsia" w:ascii="宋体" w:hAnsi="宋体" w:eastAsia="宋体" w:cs="宋体"/>
                <w:color w:val="auto"/>
                <w:sz w:val="24"/>
                <w:szCs w:val="24"/>
              </w:rPr>
            </w:pPr>
          </w:p>
        </w:tc>
        <w:tc>
          <w:tcPr>
            <w:tcW w:w="462" w:type="dxa"/>
            <w:gridSpan w:val="2"/>
            <w:vMerge w:val="continue"/>
            <w:tcBorders>
              <w:left w:val="single" w:color="auto" w:sz="4" w:space="0"/>
            </w:tcBorders>
            <w:shd w:val="clear" w:color="auto" w:fill="auto"/>
            <w:noWrap w:val="0"/>
            <w:vAlign w:val="top"/>
          </w:tcPr>
          <w:p w14:paraId="499265D1">
            <w:pPr>
              <w:rPr>
                <w:rFonts w:hint="eastAsia" w:ascii="宋体" w:hAnsi="宋体" w:eastAsia="宋体" w:cs="宋体"/>
                <w:color w:val="auto"/>
                <w:sz w:val="24"/>
                <w:szCs w:val="24"/>
              </w:rPr>
            </w:pPr>
          </w:p>
        </w:tc>
      </w:tr>
      <w:tr w14:paraId="4624238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86" w:hRule="atLeast"/>
          <w:jc w:val="center"/>
        </w:trPr>
        <w:tc>
          <w:tcPr>
            <w:tcW w:w="457" w:type="dxa"/>
            <w:vMerge w:val="continue"/>
            <w:tcBorders>
              <w:right w:val="single" w:color="000000" w:sz="4" w:space="0"/>
            </w:tcBorders>
            <w:noWrap w:val="0"/>
            <w:vAlign w:val="center"/>
          </w:tcPr>
          <w:p w14:paraId="512D476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val="en-US" w:eastAsia="zh-CN"/>
              </w:rPr>
            </w:pPr>
          </w:p>
        </w:tc>
        <w:tc>
          <w:tcPr>
            <w:tcW w:w="541" w:type="dxa"/>
            <w:vMerge w:val="continue"/>
            <w:tcBorders>
              <w:left w:val="single" w:color="000000" w:sz="4" w:space="0"/>
              <w:right w:val="single" w:color="000000" w:sz="4" w:space="0"/>
            </w:tcBorders>
            <w:noWrap w:val="0"/>
            <w:vAlign w:val="center"/>
          </w:tcPr>
          <w:p w14:paraId="79400A4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58999D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有害气体排放</w:t>
            </w:r>
          </w:p>
        </w:tc>
        <w:tc>
          <w:tcPr>
            <w:tcW w:w="6004" w:type="dxa"/>
            <w:tcBorders>
              <w:top w:val="single" w:color="000000" w:sz="4" w:space="0"/>
              <w:left w:val="single" w:color="000000" w:sz="4" w:space="0"/>
              <w:bottom w:val="single" w:color="000000" w:sz="4" w:space="0"/>
              <w:right w:val="single" w:color="auto" w:sz="4" w:space="0"/>
            </w:tcBorders>
            <w:noWrap w:val="0"/>
            <w:vAlign w:val="center"/>
          </w:tcPr>
          <w:p w14:paraId="52982B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符合国家GB13801-2015《火葬场大气污染物排放标准》的要求。</w:t>
            </w:r>
          </w:p>
        </w:tc>
        <w:tc>
          <w:tcPr>
            <w:tcW w:w="456" w:type="dxa"/>
            <w:vMerge w:val="continue"/>
            <w:tcBorders>
              <w:left w:val="single" w:color="auto" w:sz="4" w:space="0"/>
              <w:right w:val="single" w:color="auto" w:sz="4" w:space="0"/>
            </w:tcBorders>
            <w:shd w:val="clear" w:color="auto" w:fill="auto"/>
            <w:noWrap w:val="0"/>
            <w:vAlign w:val="top"/>
          </w:tcPr>
          <w:p w14:paraId="4B51F55C">
            <w:pPr>
              <w:rPr>
                <w:rFonts w:hint="eastAsia" w:ascii="宋体" w:hAnsi="宋体" w:eastAsia="宋体" w:cs="宋体"/>
                <w:color w:val="auto"/>
                <w:sz w:val="24"/>
                <w:szCs w:val="24"/>
              </w:rPr>
            </w:pPr>
          </w:p>
        </w:tc>
        <w:tc>
          <w:tcPr>
            <w:tcW w:w="462" w:type="dxa"/>
            <w:gridSpan w:val="2"/>
            <w:vMerge w:val="continue"/>
            <w:tcBorders>
              <w:left w:val="single" w:color="auto" w:sz="4" w:space="0"/>
            </w:tcBorders>
            <w:shd w:val="clear" w:color="auto" w:fill="auto"/>
            <w:noWrap w:val="0"/>
            <w:vAlign w:val="top"/>
          </w:tcPr>
          <w:p w14:paraId="0948C4F8">
            <w:pPr>
              <w:rPr>
                <w:rFonts w:hint="eastAsia" w:ascii="宋体" w:hAnsi="宋体" w:eastAsia="宋体" w:cs="宋体"/>
                <w:color w:val="auto"/>
                <w:sz w:val="24"/>
                <w:szCs w:val="24"/>
              </w:rPr>
            </w:pPr>
          </w:p>
        </w:tc>
      </w:tr>
      <w:tr w14:paraId="28CBA1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78" w:hRule="atLeast"/>
          <w:jc w:val="center"/>
        </w:trPr>
        <w:tc>
          <w:tcPr>
            <w:tcW w:w="457" w:type="dxa"/>
            <w:vMerge w:val="continue"/>
            <w:tcBorders>
              <w:bottom w:val="single" w:color="000000" w:sz="4" w:space="0"/>
              <w:right w:val="single" w:color="000000" w:sz="4" w:space="0"/>
            </w:tcBorders>
            <w:noWrap w:val="0"/>
            <w:vAlign w:val="center"/>
          </w:tcPr>
          <w:p w14:paraId="65A74A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val="en-US" w:eastAsia="zh-CN"/>
              </w:rPr>
            </w:pPr>
          </w:p>
        </w:tc>
        <w:tc>
          <w:tcPr>
            <w:tcW w:w="541" w:type="dxa"/>
            <w:vMerge w:val="continue"/>
            <w:tcBorders>
              <w:left w:val="single" w:color="000000" w:sz="4" w:space="0"/>
              <w:bottom w:val="single" w:color="000000" w:sz="4" w:space="0"/>
              <w:right w:val="single" w:color="000000" w:sz="4" w:space="0"/>
            </w:tcBorders>
            <w:noWrap w:val="0"/>
            <w:vAlign w:val="center"/>
          </w:tcPr>
          <w:p w14:paraId="601A262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6D795C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Theme="minorEastAsia" w:hAnsiTheme="minorEastAsia" w:eastAsiaTheme="minorEastAsia" w:cstheme="minorEastAsia"/>
                <w:b/>
                <w:bCs/>
                <w:sz w:val="24"/>
              </w:rPr>
              <w:t>火化炉</w:t>
            </w:r>
          </w:p>
        </w:tc>
        <w:tc>
          <w:tcPr>
            <w:tcW w:w="6004" w:type="dxa"/>
            <w:tcBorders>
              <w:top w:val="single" w:color="000000" w:sz="4" w:space="0"/>
              <w:left w:val="single" w:color="000000" w:sz="4" w:space="0"/>
              <w:bottom w:val="single" w:color="000000" w:sz="4" w:space="0"/>
              <w:right w:val="single" w:color="auto" w:sz="4" w:space="0"/>
            </w:tcBorders>
            <w:noWrap w:val="0"/>
            <w:vAlign w:val="center"/>
          </w:tcPr>
          <w:p w14:paraId="4C1586D3">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宋体" w:hAnsi="宋体" w:cs="宋体" w:eastAsiaTheme="minorEastAsia"/>
                <w:color w:val="auto"/>
                <w:sz w:val="24"/>
                <w:szCs w:val="24"/>
                <w:lang w:eastAsia="zh-CN"/>
              </w:rPr>
            </w:pPr>
            <w:r>
              <w:rPr>
                <w:rFonts w:hint="eastAsia" w:asciiTheme="minorEastAsia" w:hAnsiTheme="minorEastAsia" w:eastAsiaTheme="minorEastAsia" w:cstheme="minorEastAsia"/>
                <w:b/>
                <w:bCs/>
                <w:sz w:val="24"/>
              </w:rPr>
              <w:t>产品质量要求符合国家标准，火化机参数要求，火化炉炉膛采用特种异型耐火砖，铝含量不低于90%，耐火温度不低于1750℃，热循环不低于5次，火口砖采用碳化硅砖砌筑，碳化硅含量不低于75%，热循环不低于5次。火化炉整体提供合格证书</w:t>
            </w:r>
            <w:r>
              <w:rPr>
                <w:rFonts w:hint="eastAsia" w:asciiTheme="minorEastAsia" w:hAnsiTheme="minorEastAsia" w:eastAsiaTheme="minorEastAsia" w:cstheme="minorEastAsia"/>
                <w:b/>
                <w:bCs/>
                <w:sz w:val="24"/>
                <w:lang w:eastAsia="zh-CN"/>
              </w:rPr>
              <w:t>。</w:t>
            </w:r>
          </w:p>
        </w:tc>
        <w:tc>
          <w:tcPr>
            <w:tcW w:w="456" w:type="dxa"/>
            <w:vMerge w:val="continue"/>
            <w:tcBorders>
              <w:left w:val="single" w:color="auto" w:sz="4" w:space="0"/>
              <w:bottom w:val="single" w:color="auto" w:sz="4" w:space="0"/>
              <w:right w:val="single" w:color="auto" w:sz="4" w:space="0"/>
            </w:tcBorders>
            <w:shd w:val="clear" w:color="auto" w:fill="auto"/>
            <w:noWrap w:val="0"/>
            <w:vAlign w:val="top"/>
          </w:tcPr>
          <w:p w14:paraId="0E44478B">
            <w:pPr>
              <w:rPr>
                <w:rFonts w:hint="eastAsia" w:ascii="宋体" w:hAnsi="宋体" w:eastAsia="宋体" w:cs="宋体"/>
                <w:color w:val="auto"/>
                <w:sz w:val="24"/>
                <w:szCs w:val="24"/>
              </w:rPr>
            </w:pPr>
          </w:p>
        </w:tc>
        <w:tc>
          <w:tcPr>
            <w:tcW w:w="462" w:type="dxa"/>
            <w:gridSpan w:val="2"/>
            <w:vMerge w:val="continue"/>
            <w:tcBorders>
              <w:left w:val="single" w:color="auto" w:sz="4" w:space="0"/>
              <w:bottom w:val="single" w:color="auto" w:sz="4" w:space="0"/>
            </w:tcBorders>
            <w:shd w:val="clear" w:color="auto" w:fill="auto"/>
            <w:noWrap w:val="0"/>
            <w:vAlign w:val="top"/>
          </w:tcPr>
          <w:p w14:paraId="0E1CB3CC">
            <w:pPr>
              <w:rPr>
                <w:rFonts w:hint="eastAsia" w:ascii="宋体" w:hAnsi="宋体" w:eastAsia="宋体" w:cs="宋体"/>
                <w:color w:val="auto"/>
                <w:sz w:val="24"/>
                <w:szCs w:val="24"/>
              </w:rPr>
            </w:pPr>
          </w:p>
        </w:tc>
      </w:tr>
      <w:tr w14:paraId="019D278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457" w:type="dxa"/>
            <w:vMerge w:val="restart"/>
            <w:tcBorders>
              <w:top w:val="single" w:color="000000" w:sz="4" w:space="0"/>
              <w:right w:val="single" w:color="auto" w:sz="4" w:space="0"/>
            </w:tcBorders>
            <w:shd w:val="clear" w:color="auto" w:fill="auto"/>
            <w:noWrap w:val="0"/>
            <w:vAlign w:val="center"/>
          </w:tcPr>
          <w:p w14:paraId="0685D4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541" w:type="dxa"/>
            <w:vMerge w:val="restart"/>
            <w:tcBorders>
              <w:top w:val="single" w:color="000000" w:sz="4" w:space="0"/>
              <w:left w:val="single" w:color="000000" w:sz="4" w:space="0"/>
              <w:right w:val="single" w:color="auto" w:sz="4" w:space="0"/>
            </w:tcBorders>
            <w:shd w:val="clear" w:color="auto" w:fill="auto"/>
            <w:noWrap w:val="0"/>
            <w:vAlign w:val="center"/>
          </w:tcPr>
          <w:p w14:paraId="4B023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火化机尾气（一拖一）净化设备</w:t>
            </w:r>
          </w:p>
        </w:tc>
        <w:tc>
          <w:tcPr>
            <w:tcW w:w="104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872BC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火化机尾气设备组合</w:t>
            </w:r>
          </w:p>
        </w:tc>
        <w:tc>
          <w:tcPr>
            <w:tcW w:w="600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19D0E6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1、火化机尾气设备由组合式高效降温火星拦截脱硫除尘器和组合式布袋除尘器、排烟系统、压缩空气喷吹系统、变频器引风系统、消声器及烟囱、PLC控制系统组成，钢结构符合 GB 50205 的规定，钢制设备、工业管道、钢结构的焊接符合 GB 50236 的规定。</w:t>
            </w:r>
          </w:p>
          <w:p w14:paraId="291EBE0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组合式高效降温火星拦截脱硫除尘器具有高效风冷换热（二氧杂芑处理）、初级火星过滤、火星拦截（中级除尘）、旋风除尘器等功能。采用“高效脱硫降温器+初除尘器+袋式除尘器+吸附器（催化器）+引风机+烟囱”的工艺流程，粉尘颗粒，烟尘、二氧化硫，一氧化碳、氮氧化物、 氯化氢、重金属、二噁英、烟气黑度、臭味等排放应符合GB 13801的规定，设备可用率达95%，漏风率不高于5%，烟气设备正常使用寿命应不少于10年或不少于15000具。</w:t>
            </w:r>
          </w:p>
          <w:p w14:paraId="6D0F34B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3、钢制设备所用的钢材应符合GB/T3280-2009《不锈钢冷轧钢板和钢带》、GB/T4237-2009《不锈钢热轧钢板和钢带》、GB/T4238-2009《耐热钢板和钢带》的规定。处理尾气量≥6000m³/h。出口烟尘浓度≤20mg/m</w:t>
            </w:r>
            <w:r>
              <w:rPr>
                <w:rFonts w:hint="eastAsia" w:ascii="宋体" w:hAnsi="宋体" w:eastAsia="宋体" w:cs="宋体"/>
                <w:i w:val="0"/>
                <w:iCs w:val="0"/>
                <w:color w:val="auto"/>
                <w:kern w:val="0"/>
                <w:sz w:val="24"/>
                <w:szCs w:val="24"/>
                <w:u w:val="none"/>
                <w:vertAlign w:val="superscript"/>
                <w:lang w:val="en-US" w:eastAsia="zh-CN" w:bidi="ar"/>
              </w:rPr>
              <w:t>3</w:t>
            </w:r>
            <w:r>
              <w:rPr>
                <w:rFonts w:hint="eastAsia" w:ascii="宋体" w:hAnsi="宋体" w:eastAsia="宋体" w:cs="宋体"/>
                <w:i w:val="0"/>
                <w:iCs w:val="0"/>
                <w:color w:val="auto"/>
                <w:kern w:val="0"/>
                <w:sz w:val="24"/>
                <w:szCs w:val="24"/>
                <w:u w:val="none"/>
                <w:lang w:val="en-US" w:eastAsia="zh-CN" w:bidi="ar"/>
              </w:rPr>
              <w:t>，出口烟气温度≤90℃。</w:t>
            </w:r>
          </w:p>
        </w:tc>
        <w:tc>
          <w:tcPr>
            <w:tcW w:w="462" w:type="dxa"/>
            <w:gridSpan w:val="2"/>
            <w:vMerge w:val="restart"/>
            <w:tcBorders>
              <w:top w:val="single" w:color="000000" w:sz="4" w:space="0"/>
              <w:left w:val="single" w:color="000000" w:sz="4" w:space="0"/>
              <w:right w:val="single" w:color="auto" w:sz="4" w:space="0"/>
            </w:tcBorders>
            <w:noWrap w:val="0"/>
            <w:vAlign w:val="center"/>
          </w:tcPr>
          <w:p w14:paraId="06D281AC">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vertAlign w:val="baseline"/>
                <w:lang w:val="en-US" w:eastAsia="zh-CN"/>
              </w:rPr>
              <w:t>套</w:t>
            </w:r>
          </w:p>
        </w:tc>
        <w:tc>
          <w:tcPr>
            <w:tcW w:w="456" w:type="dxa"/>
            <w:vMerge w:val="restart"/>
            <w:tcBorders>
              <w:top w:val="single" w:color="000000" w:sz="4" w:space="0"/>
              <w:left w:val="single" w:color="000000" w:sz="4" w:space="0"/>
            </w:tcBorders>
            <w:noWrap w:val="0"/>
            <w:vAlign w:val="center"/>
          </w:tcPr>
          <w:p w14:paraId="3B2FD0D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vertAlign w:val="baseline"/>
                <w:lang w:val="en-US" w:eastAsia="zh-CN"/>
              </w:rPr>
              <w:t>1</w:t>
            </w:r>
          </w:p>
        </w:tc>
      </w:tr>
      <w:tr w14:paraId="0563C4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457" w:type="dxa"/>
            <w:vMerge w:val="continue"/>
            <w:tcBorders>
              <w:right w:val="single" w:color="auto" w:sz="4" w:space="0"/>
            </w:tcBorders>
            <w:shd w:val="clear" w:color="auto" w:fill="auto"/>
            <w:noWrap w:val="0"/>
            <w:vAlign w:val="center"/>
          </w:tcPr>
          <w:p w14:paraId="5472CD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u w:val="none"/>
                <w:lang w:val="en-US" w:eastAsia="zh-CN" w:bidi="ar-SA"/>
              </w:rPr>
            </w:pPr>
          </w:p>
        </w:tc>
        <w:tc>
          <w:tcPr>
            <w:tcW w:w="541" w:type="dxa"/>
            <w:vMerge w:val="continue"/>
            <w:tcBorders>
              <w:left w:val="single" w:color="000000" w:sz="4" w:space="0"/>
              <w:right w:val="single" w:color="auto" w:sz="4" w:space="0"/>
            </w:tcBorders>
            <w:shd w:val="clear" w:color="auto" w:fill="auto"/>
            <w:noWrap w:val="0"/>
            <w:vAlign w:val="center"/>
          </w:tcPr>
          <w:p w14:paraId="75256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104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EEAF6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组合式高效降温火星拦截脱硫除尘器</w:t>
            </w:r>
          </w:p>
        </w:tc>
        <w:tc>
          <w:tcPr>
            <w:tcW w:w="600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4EADA9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1、高效风冷换热器（二氧杂芑处理器）燃烧室高温烟气进入风冷换热器后通过风冷方式，内设初级除尘装置，装置内及进口烟道内衬耐火材料。 2s 内使高温烟气迅速降至200℃以下，跳开二噁英的生成条件，避免二噁英等有害物质的生成。采用高效风冷散热降温的方式，并在下口设置灰尘出口，以便清理灰尘。</w:t>
            </w:r>
          </w:p>
          <w:p w14:paraId="0F112E64">
            <w:pPr>
              <w:keepNext w:val="0"/>
              <w:keepLines w:val="0"/>
              <w:pageBreakBefore w:val="0"/>
              <w:widowControl/>
              <w:numPr>
                <w:ilvl w:val="0"/>
                <w:numId w:val="8"/>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火星拦截器（中级除尘）：拦截烟气中火星，过流面积＞0.314m</w:t>
            </w:r>
            <w:r>
              <w:rPr>
                <w:rFonts w:hint="eastAsia" w:ascii="宋体" w:hAnsi="宋体" w:eastAsia="宋体" w:cs="宋体"/>
                <w:i w:val="0"/>
                <w:iCs w:val="0"/>
                <w:color w:val="auto"/>
                <w:kern w:val="0"/>
                <w:sz w:val="24"/>
                <w:szCs w:val="24"/>
                <w:u w:val="none"/>
                <w:vertAlign w:val="superscript"/>
                <w:lang w:val="en-US" w:eastAsia="zh-CN" w:bidi="ar"/>
              </w:rPr>
              <w:t>2</w:t>
            </w:r>
            <w:r>
              <w:rPr>
                <w:rFonts w:hint="eastAsia" w:ascii="宋体" w:hAnsi="宋体" w:eastAsia="宋体" w:cs="宋体"/>
                <w:i w:val="0"/>
                <w:iCs w:val="0"/>
                <w:color w:val="auto"/>
                <w:kern w:val="0"/>
                <w:sz w:val="24"/>
                <w:szCs w:val="24"/>
                <w:u w:val="none"/>
                <w:lang w:val="en-US" w:eastAsia="zh-CN" w:bidi="ar"/>
              </w:rPr>
              <w:t>,火星拦截面积＞7.85m</w:t>
            </w:r>
            <w:r>
              <w:rPr>
                <w:rFonts w:hint="eastAsia" w:ascii="宋体" w:hAnsi="宋体" w:eastAsia="宋体" w:cs="宋体"/>
                <w:i w:val="0"/>
                <w:iCs w:val="0"/>
                <w:color w:val="auto"/>
                <w:kern w:val="0"/>
                <w:sz w:val="24"/>
                <w:szCs w:val="24"/>
                <w:u w:val="none"/>
                <w:vertAlign w:val="superscript"/>
                <w:lang w:val="en-US" w:eastAsia="zh-CN" w:bidi="ar"/>
              </w:rPr>
              <w:t>2</w:t>
            </w:r>
            <w:r>
              <w:rPr>
                <w:rFonts w:hint="eastAsia" w:ascii="宋体" w:hAnsi="宋体" w:eastAsia="宋体" w:cs="宋体"/>
                <w:i w:val="0"/>
                <w:iCs w:val="0"/>
                <w:color w:val="auto"/>
                <w:kern w:val="0"/>
                <w:sz w:val="24"/>
                <w:szCs w:val="24"/>
                <w:u w:val="none"/>
                <w:lang w:val="en-US" w:eastAsia="zh-CN" w:bidi="ar"/>
              </w:rPr>
              <w:t>，颗粒物拦截率拦截率95%。</w:t>
            </w:r>
          </w:p>
          <w:p w14:paraId="6D006608">
            <w:pPr>
              <w:keepNext w:val="0"/>
              <w:keepLines w:val="0"/>
              <w:pageBreakBefore w:val="0"/>
              <w:widowControl/>
              <w:numPr>
                <w:ilvl w:val="0"/>
                <w:numId w:val="8"/>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旋风除尘器采用双旋风除尘方式，利用离心力将烟气中大部分的粉尘、颗粒物分离出来，即提高了除尘效率又保证了烟气的通过性。</w:t>
            </w:r>
          </w:p>
          <w:p w14:paraId="417EEC96">
            <w:pPr>
              <w:keepNext w:val="0"/>
              <w:keepLines w:val="0"/>
              <w:pageBreakBefore w:val="0"/>
              <w:widowControl/>
              <w:numPr>
                <w:ilvl w:val="0"/>
                <w:numId w:val="8"/>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脱硫脱酸系统的结构符合 GB 50017 。根据力学原理和应用场合设计自吸收式进料方式防止进料不均匀或者是卡死导致故障，脱酸脱硫效率应达到80%以上。二氧化硫处理系统工艺流程，使用氢氧化钠以同向流或逆向流的方式充分接触并产生中和作用，中和气体中的酸性气体。基本结构由两部分组成：自动输料装置、料箱、管道等组成。有防止结垢、堵塞的装置来保证装置的流通性。</w:t>
            </w:r>
          </w:p>
        </w:tc>
        <w:tc>
          <w:tcPr>
            <w:tcW w:w="462" w:type="dxa"/>
            <w:gridSpan w:val="2"/>
            <w:vMerge w:val="continue"/>
            <w:tcBorders>
              <w:left w:val="single" w:color="000000" w:sz="4" w:space="0"/>
              <w:right w:val="single" w:color="auto" w:sz="4" w:space="0"/>
            </w:tcBorders>
            <w:noWrap w:val="0"/>
            <w:vAlign w:val="center"/>
          </w:tcPr>
          <w:p w14:paraId="4B0421FB">
            <w:pPr>
              <w:pStyle w:val="4"/>
              <w:numPr>
                <w:ilvl w:val="0"/>
                <w:numId w:val="0"/>
              </w:numPr>
              <w:bidi w:val="0"/>
              <w:jc w:val="both"/>
              <w:rPr>
                <w:rFonts w:hint="eastAsia" w:ascii="宋体" w:hAnsi="宋体" w:eastAsia="宋体" w:cs="宋体"/>
                <w:color w:val="auto"/>
                <w:sz w:val="24"/>
                <w:szCs w:val="24"/>
                <w:lang w:val="en-US" w:eastAsia="zh-CN"/>
              </w:rPr>
            </w:pPr>
          </w:p>
        </w:tc>
        <w:tc>
          <w:tcPr>
            <w:tcW w:w="456" w:type="dxa"/>
            <w:vMerge w:val="continue"/>
            <w:tcBorders>
              <w:left w:val="single" w:color="000000" w:sz="4" w:space="0"/>
            </w:tcBorders>
            <w:noWrap w:val="0"/>
            <w:vAlign w:val="center"/>
          </w:tcPr>
          <w:p w14:paraId="304D2CCC">
            <w:pPr>
              <w:pStyle w:val="4"/>
              <w:numPr>
                <w:ilvl w:val="0"/>
                <w:numId w:val="0"/>
              </w:numPr>
              <w:bidi w:val="0"/>
              <w:jc w:val="both"/>
              <w:rPr>
                <w:rFonts w:hint="eastAsia" w:ascii="宋体" w:hAnsi="宋体" w:eastAsia="宋体" w:cs="宋体"/>
                <w:color w:val="auto"/>
                <w:sz w:val="24"/>
                <w:szCs w:val="24"/>
                <w:lang w:val="en-US" w:eastAsia="zh-CN"/>
              </w:rPr>
            </w:pPr>
          </w:p>
        </w:tc>
      </w:tr>
      <w:tr w14:paraId="257BF2A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457" w:type="dxa"/>
            <w:vMerge w:val="continue"/>
            <w:tcBorders>
              <w:right w:val="single" w:color="auto" w:sz="4" w:space="0"/>
            </w:tcBorders>
            <w:shd w:val="clear" w:color="auto" w:fill="auto"/>
            <w:noWrap w:val="0"/>
            <w:vAlign w:val="center"/>
          </w:tcPr>
          <w:p w14:paraId="01C452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u w:val="none"/>
                <w:lang w:val="en-US" w:eastAsia="zh-CN" w:bidi="ar-SA"/>
              </w:rPr>
            </w:pPr>
          </w:p>
        </w:tc>
        <w:tc>
          <w:tcPr>
            <w:tcW w:w="541" w:type="dxa"/>
            <w:vMerge w:val="continue"/>
            <w:tcBorders>
              <w:left w:val="single" w:color="000000" w:sz="4" w:space="0"/>
              <w:right w:val="single" w:color="auto" w:sz="4" w:space="0"/>
            </w:tcBorders>
            <w:shd w:val="clear" w:color="auto" w:fill="auto"/>
            <w:noWrap w:val="0"/>
            <w:vAlign w:val="center"/>
          </w:tcPr>
          <w:p w14:paraId="62556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73E0C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脉冲布袋除尘器</w:t>
            </w:r>
          </w:p>
        </w:tc>
        <w:tc>
          <w:tcPr>
            <w:tcW w:w="600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8BB485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1、布袋脉冲除尘器由箱体、支架、检修架、滤袋架、滤袋、导流板、收尘室、电磁脉冲自动清灰装置、废气进口采用气动阀门自动控制等组成。箱体采用不小于3 mm不锈钢材质制成，自动感应脉冲清灰装置，对滤袋自动清除粘附在滤袋上的粉尘，设计有防结露、防糊袋等功能，防止因滤袋结露、糊袋，影响火化炉正常工作负压。应有温度和差压监控报警设备。布袋除尘器需设计有检修孔，停机时可以打开检修门查看布袋除尘器箱体内使用情况。除尘效率达 98%以上。</w:t>
            </w:r>
          </w:p>
          <w:p w14:paraId="14ABABF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2、滤袋框架应符合 JB/T 5917 的规定，滤袋框架采用表面经有机硅防腐处理的碳铜或不锈钢。滤袋总数不少于126 条，总过滤面积不少于100m</w:t>
            </w:r>
            <w:r>
              <w:rPr>
                <w:rFonts w:hint="eastAsia" w:ascii="宋体" w:hAnsi="宋体" w:eastAsia="宋体" w:cs="宋体"/>
                <w:i w:val="0"/>
                <w:iCs w:val="0"/>
                <w:color w:val="000000" w:themeColor="text1"/>
                <w:kern w:val="0"/>
                <w:sz w:val="24"/>
                <w:szCs w:val="24"/>
                <w:u w:val="none"/>
                <w:vertAlign w:val="superscript"/>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，尺寸为不小于Φ130*2000mm，材质采用 PTFE,P84,芳纶，PPS,GA 等，连续工作温度不低于 260℃，瞬时最高承受温度可达到 310℃，具有优秀的耐酸性耐碱度特点。透气性不低于8m³/㎡.min，过滤速度：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1.1m/s。</w:t>
            </w:r>
          </w:p>
          <w:p w14:paraId="56F1461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滤袋骨架尺寸为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Φ115mm×1970mm。采用直径为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4mm （有机硅喷涂）十根直筋。</w:t>
            </w:r>
          </w:p>
          <w:p w14:paraId="0E9AD942">
            <w:pPr>
              <w:pStyle w:val="24"/>
              <w:keepNext w:val="0"/>
              <w:keepLines w:val="0"/>
              <w:widowControl/>
              <w:suppressLineNumbers w:val="0"/>
              <w:spacing w:before="0" w:beforeAutospacing="0" w:after="0" w:afterAutospacing="0"/>
              <w:ind w:left="0" w:righ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脉冲</w:t>
            </w:r>
            <w:r>
              <w:rPr>
                <w:rFonts w:hint="eastAsia" w:eastAsia="宋体" w:cs="宋体"/>
                <w:color w:val="000000" w:themeColor="text1"/>
                <w:sz w:val="24"/>
                <w:szCs w:val="24"/>
                <w:lang w:val="en-US" w:eastAsia="zh-CN"/>
                <w14:textFill>
                  <w14:solidFill>
                    <w14:schemeClr w14:val="tx1"/>
                  </w14:solidFill>
                </w14:textFill>
              </w:rPr>
              <w:t>电磁</w:t>
            </w:r>
            <w:r>
              <w:rPr>
                <w:rFonts w:hint="eastAsia" w:ascii="宋体" w:hAnsi="宋体" w:eastAsia="宋体" w:cs="宋体"/>
                <w:color w:val="000000" w:themeColor="text1"/>
                <w:sz w:val="24"/>
                <w:szCs w:val="24"/>
                <w14:textFill>
                  <w14:solidFill>
                    <w14:schemeClr w14:val="tx1"/>
                  </w14:solidFill>
                </w14:textFill>
              </w:rPr>
              <w:t>阀</w:t>
            </w:r>
            <w:r>
              <w:rPr>
                <w:rFonts w:hint="eastAsia" w:eastAsia="宋体" w:cs="宋体"/>
                <w:color w:val="000000" w:themeColor="text1"/>
                <w:sz w:val="24"/>
                <w:szCs w:val="24"/>
                <w:lang w:val="en-US" w:eastAsia="zh-CN"/>
                <w14:textFill>
                  <w14:solidFill>
                    <w14:schemeClr w14:val="tx1"/>
                  </w14:solidFill>
                </w14:textFill>
              </w:rPr>
              <w:t>依据</w:t>
            </w:r>
            <w:r>
              <w:rPr>
                <w:rFonts w:hint="eastAsia" w:ascii="宋体" w:hAnsi="宋体" w:eastAsia="宋体" w:cs="宋体"/>
                <w:color w:val="000000" w:themeColor="text1"/>
                <w:sz w:val="24"/>
                <w:szCs w:val="24"/>
                <w14:textFill>
                  <w14:solidFill>
                    <w14:schemeClr w14:val="tx1"/>
                  </w14:solidFill>
                </w14:textFill>
              </w:rPr>
              <w:t>HJ/T 284</w:t>
            </w:r>
            <w:r>
              <w:rPr>
                <w:rFonts w:hint="eastAsia" w:eastAsia="宋体" w:cs="宋体"/>
                <w:color w:val="000000" w:themeColor="text1"/>
                <w:sz w:val="24"/>
                <w:szCs w:val="24"/>
                <w:lang w:val="en-US" w:eastAsia="zh-CN"/>
                <w14:textFill>
                  <w14:solidFill>
                    <w14:schemeClr w14:val="tx1"/>
                  </w14:solidFill>
                </w14:textFill>
              </w:rPr>
              <w:t>标准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防护等级达到IP64、</w:t>
            </w:r>
            <w:r>
              <w:rPr>
                <w:rFonts w:hint="eastAsia" w:ascii="宋体" w:hAnsi="宋体" w:eastAsia="宋体" w:cs="宋体"/>
                <w:color w:val="000000" w:themeColor="text1"/>
                <w:sz w:val="24"/>
                <w:szCs w:val="24"/>
                <w14:textFill>
                  <w14:solidFill>
                    <w14:schemeClr w14:val="tx1"/>
                  </w14:solidFill>
                </w14:textFill>
              </w:rPr>
              <w:t>承受1MPa的压力无泄漏</w:t>
            </w:r>
            <w:r>
              <w:rPr>
                <w:rFonts w:hint="eastAsia" w:ascii="宋体" w:hAnsi="宋体" w:eastAsia="宋体" w:cs="宋体"/>
                <w:color w:val="000000" w:themeColor="text1"/>
                <w:sz w:val="24"/>
                <w:szCs w:val="24"/>
                <w:lang w:val="en-US" w:eastAsia="zh-CN"/>
                <w14:textFill>
                  <w14:solidFill>
                    <w14:schemeClr w14:val="tx1"/>
                  </w14:solidFill>
                </w14:textFill>
              </w:rPr>
              <w:t>。</w:t>
            </w:r>
          </w:p>
          <w:p w14:paraId="448D92A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活性炭吸附采用特殊耐腐蚀材料制作，活性炭颗粒采用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φ12 mm采用优质蜂窝式活性炭吸附。二噁英化合物及重金属去除率95%以上。配备可反转活性炭吸附器装置。</w:t>
            </w:r>
          </w:p>
          <w:p w14:paraId="5FB7526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应急排烟系统在紧急情况下自动切换至应急排烟模式，保证火化顺利进行。</w:t>
            </w:r>
          </w:p>
          <w:p w14:paraId="756804B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所有法兰、</w:t>
            </w:r>
            <w:r>
              <w:rPr>
                <w:rFonts w:hint="eastAsia" w:ascii="宋体" w:hAnsi="宋体" w:eastAsia="宋体" w:cs="宋体"/>
                <w:color w:val="000000" w:themeColor="text1"/>
                <w:sz w:val="24"/>
                <w:szCs w:val="24"/>
                <w:lang w:val="en-US" w:eastAsia="zh-CN"/>
                <w14:textFill>
                  <w14:solidFill>
                    <w14:schemeClr w14:val="tx1"/>
                  </w14:solidFill>
                </w14:textFill>
              </w:rPr>
              <w:t>入</w:t>
            </w:r>
            <w:r>
              <w:rPr>
                <w:rFonts w:hint="eastAsia" w:ascii="宋体" w:hAnsi="宋体" w:eastAsia="宋体" w:cs="宋体"/>
                <w:color w:val="000000" w:themeColor="text1"/>
                <w:sz w:val="24"/>
                <w:szCs w:val="24"/>
                <w14:textFill>
                  <w14:solidFill>
                    <w14:schemeClr w14:val="tx1"/>
                  </w14:solidFill>
                </w14:textFill>
              </w:rPr>
              <w:t>孔盖和检查门均应衬以密封材料以保证密封。</w:t>
            </w:r>
          </w:p>
        </w:tc>
        <w:tc>
          <w:tcPr>
            <w:tcW w:w="462" w:type="dxa"/>
            <w:gridSpan w:val="2"/>
            <w:vMerge w:val="continue"/>
            <w:tcBorders>
              <w:left w:val="single" w:color="000000" w:sz="4" w:space="0"/>
              <w:right w:val="single" w:color="auto" w:sz="4" w:space="0"/>
            </w:tcBorders>
            <w:noWrap w:val="0"/>
            <w:vAlign w:val="center"/>
          </w:tcPr>
          <w:p w14:paraId="65FC6655">
            <w:pPr>
              <w:pStyle w:val="4"/>
              <w:numPr>
                <w:ilvl w:val="0"/>
                <w:numId w:val="0"/>
              </w:numPr>
              <w:bidi w:val="0"/>
              <w:jc w:val="both"/>
              <w:rPr>
                <w:rFonts w:hint="eastAsia" w:ascii="宋体" w:hAnsi="宋体" w:eastAsia="宋体" w:cs="宋体"/>
                <w:color w:val="auto"/>
                <w:sz w:val="24"/>
                <w:szCs w:val="24"/>
                <w:lang w:val="en-US" w:eastAsia="zh-CN"/>
              </w:rPr>
            </w:pPr>
          </w:p>
        </w:tc>
        <w:tc>
          <w:tcPr>
            <w:tcW w:w="456" w:type="dxa"/>
            <w:vMerge w:val="continue"/>
            <w:tcBorders>
              <w:left w:val="single" w:color="000000" w:sz="4" w:space="0"/>
            </w:tcBorders>
            <w:noWrap w:val="0"/>
            <w:vAlign w:val="center"/>
          </w:tcPr>
          <w:p w14:paraId="46199589">
            <w:pPr>
              <w:pStyle w:val="4"/>
              <w:numPr>
                <w:ilvl w:val="0"/>
                <w:numId w:val="0"/>
              </w:numPr>
              <w:bidi w:val="0"/>
              <w:jc w:val="both"/>
              <w:rPr>
                <w:rFonts w:hint="eastAsia" w:ascii="宋体" w:hAnsi="宋体" w:eastAsia="宋体" w:cs="宋体"/>
                <w:color w:val="auto"/>
                <w:sz w:val="24"/>
                <w:szCs w:val="24"/>
                <w:lang w:val="en-US" w:eastAsia="zh-CN"/>
              </w:rPr>
            </w:pPr>
          </w:p>
        </w:tc>
      </w:tr>
      <w:tr w14:paraId="6FD732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457" w:type="dxa"/>
            <w:vMerge w:val="continue"/>
            <w:tcBorders>
              <w:right w:val="single" w:color="auto" w:sz="4" w:space="0"/>
            </w:tcBorders>
            <w:shd w:val="clear" w:color="auto" w:fill="auto"/>
            <w:noWrap w:val="0"/>
            <w:vAlign w:val="center"/>
          </w:tcPr>
          <w:p w14:paraId="53A69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u w:val="none"/>
                <w:lang w:val="en-US" w:eastAsia="zh-CN" w:bidi="ar-SA"/>
              </w:rPr>
            </w:pPr>
          </w:p>
        </w:tc>
        <w:tc>
          <w:tcPr>
            <w:tcW w:w="541" w:type="dxa"/>
            <w:vMerge w:val="continue"/>
            <w:tcBorders>
              <w:left w:val="single" w:color="000000" w:sz="4" w:space="0"/>
              <w:right w:val="single" w:color="auto" w:sz="4" w:space="0"/>
            </w:tcBorders>
            <w:shd w:val="clear" w:color="auto" w:fill="auto"/>
            <w:noWrap w:val="0"/>
            <w:vAlign w:val="center"/>
          </w:tcPr>
          <w:p w14:paraId="6D374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05C2A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烟道系统</w:t>
            </w:r>
          </w:p>
        </w:tc>
        <w:tc>
          <w:tcPr>
            <w:tcW w:w="600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630572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1、烟道系统采用厚度不少于3mm优质不锈钢卷制，采用法兰连接，且方便拆卸。</w:t>
            </w:r>
          </w:p>
          <w:p w14:paraId="735F2BE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2、法兰连接时加装密封圈后采用螺栓、螺母旋紧连接，管道整体不漏风。外部隔热保温，材料耐腐蚀性强。各应急管道阀门耐高温，不低于500℃。</w:t>
            </w:r>
          </w:p>
          <w:p w14:paraId="2B85066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3、各管道转向采用弯头连接，直角转向采用90º弯头焊接的方式进行连接，和风机连接应有补偿连接。</w:t>
            </w:r>
          </w:p>
          <w:p w14:paraId="5AFBA25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4、管道分路采用三通焊接的方式进行连接，所用三通的材质为优质不锈钢材质。</w:t>
            </w:r>
          </w:p>
          <w:p w14:paraId="5D6E685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5、管道连接的阀门采用气动或电动阀门，自动切换阀门启闭。</w:t>
            </w:r>
          </w:p>
        </w:tc>
        <w:tc>
          <w:tcPr>
            <w:tcW w:w="462" w:type="dxa"/>
            <w:gridSpan w:val="2"/>
            <w:vMerge w:val="continue"/>
            <w:tcBorders>
              <w:left w:val="single" w:color="000000" w:sz="4" w:space="0"/>
              <w:right w:val="single" w:color="auto" w:sz="4" w:space="0"/>
            </w:tcBorders>
            <w:noWrap w:val="0"/>
            <w:vAlign w:val="center"/>
          </w:tcPr>
          <w:p w14:paraId="2C56A620">
            <w:pPr>
              <w:pStyle w:val="4"/>
              <w:numPr>
                <w:ilvl w:val="0"/>
                <w:numId w:val="0"/>
              </w:numPr>
              <w:bidi w:val="0"/>
              <w:jc w:val="both"/>
              <w:rPr>
                <w:rFonts w:hint="eastAsia" w:ascii="宋体" w:hAnsi="宋体" w:eastAsia="宋体" w:cs="宋体"/>
                <w:color w:val="auto"/>
                <w:sz w:val="24"/>
                <w:szCs w:val="24"/>
                <w:lang w:val="en-US" w:eastAsia="zh-CN"/>
              </w:rPr>
            </w:pPr>
          </w:p>
        </w:tc>
        <w:tc>
          <w:tcPr>
            <w:tcW w:w="456" w:type="dxa"/>
            <w:vMerge w:val="continue"/>
            <w:tcBorders>
              <w:left w:val="single" w:color="000000" w:sz="4" w:space="0"/>
            </w:tcBorders>
            <w:noWrap w:val="0"/>
            <w:vAlign w:val="center"/>
          </w:tcPr>
          <w:p w14:paraId="70F5B234">
            <w:pPr>
              <w:pStyle w:val="4"/>
              <w:numPr>
                <w:ilvl w:val="0"/>
                <w:numId w:val="0"/>
              </w:numPr>
              <w:bidi w:val="0"/>
              <w:jc w:val="both"/>
              <w:rPr>
                <w:rFonts w:hint="eastAsia" w:ascii="宋体" w:hAnsi="宋体" w:eastAsia="宋体" w:cs="宋体"/>
                <w:color w:val="auto"/>
                <w:sz w:val="24"/>
                <w:szCs w:val="24"/>
                <w:lang w:val="en-US" w:eastAsia="zh-CN"/>
              </w:rPr>
            </w:pPr>
          </w:p>
        </w:tc>
      </w:tr>
      <w:tr w14:paraId="5D0759C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457" w:type="dxa"/>
            <w:vMerge w:val="continue"/>
            <w:tcBorders>
              <w:right w:val="single" w:color="auto" w:sz="4" w:space="0"/>
            </w:tcBorders>
            <w:shd w:val="clear" w:color="auto" w:fill="auto"/>
            <w:noWrap w:val="0"/>
            <w:vAlign w:val="center"/>
          </w:tcPr>
          <w:p w14:paraId="3710C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4"/>
                <w:szCs w:val="24"/>
                <w:u w:val="none"/>
                <w:lang w:val="en-US" w:eastAsia="zh-CN" w:bidi="ar-SA"/>
              </w:rPr>
            </w:pPr>
          </w:p>
        </w:tc>
        <w:tc>
          <w:tcPr>
            <w:tcW w:w="541" w:type="dxa"/>
            <w:vMerge w:val="continue"/>
            <w:tcBorders>
              <w:left w:val="single" w:color="000000" w:sz="4" w:space="0"/>
              <w:right w:val="single" w:color="auto" w:sz="4" w:space="0"/>
            </w:tcBorders>
            <w:shd w:val="clear" w:color="auto" w:fill="auto"/>
            <w:noWrap w:val="0"/>
            <w:vAlign w:val="center"/>
          </w:tcPr>
          <w:p w14:paraId="2CB670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4212B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引风机、烟囱</w:t>
            </w:r>
          </w:p>
        </w:tc>
        <w:tc>
          <w:tcPr>
            <w:tcW w:w="600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C28617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引风机采用耐高温变频引风机，功率≥15kw，空炉时能保证炉膛压力在-10pa至-400pa之间。根据设置负压值自动调整进风量。减震定位，出风口采用</w:t>
            </w:r>
            <w:r>
              <w:rPr>
                <w:rFonts w:hint="eastAsia" w:ascii="宋体" w:hAnsi="宋体" w:eastAsia="宋体" w:cs="宋体"/>
                <w:color w:val="000000" w:themeColor="text1"/>
                <w:sz w:val="24"/>
                <w:szCs w:val="24"/>
                <w:lang w:val="en-US" w:eastAsia="zh-CN"/>
                <w14:textFill>
                  <w14:solidFill>
                    <w14:schemeClr w14:val="tx1"/>
                  </w14:solidFill>
                </w14:textFill>
              </w:rPr>
              <w:t>补偿</w:t>
            </w:r>
            <w:r>
              <w:rPr>
                <w:rFonts w:hint="eastAsia" w:ascii="宋体" w:hAnsi="宋体" w:eastAsia="宋体" w:cs="宋体"/>
                <w:color w:val="000000" w:themeColor="text1"/>
                <w:sz w:val="24"/>
                <w:szCs w:val="24"/>
                <w14:textFill>
                  <w14:solidFill>
                    <w14:schemeClr w14:val="tx1"/>
                  </w14:solidFill>
                </w14:textFill>
              </w:rPr>
              <w:t>连接套管，进风口设防护网。烟囱采用3mm厚耐高温、耐腐蚀的不锈钢材质，直径不小于400mm，高度更具实际情况8至12米，烟囱设置检测取样口。</w:t>
            </w:r>
          </w:p>
        </w:tc>
        <w:tc>
          <w:tcPr>
            <w:tcW w:w="462" w:type="dxa"/>
            <w:gridSpan w:val="2"/>
            <w:vMerge w:val="continue"/>
            <w:tcBorders>
              <w:left w:val="single" w:color="000000" w:sz="4" w:space="0"/>
              <w:right w:val="single" w:color="auto" w:sz="4" w:space="0"/>
            </w:tcBorders>
            <w:noWrap w:val="0"/>
            <w:vAlign w:val="center"/>
          </w:tcPr>
          <w:p w14:paraId="34A9A0DC">
            <w:pPr>
              <w:pStyle w:val="4"/>
              <w:numPr>
                <w:ilvl w:val="0"/>
                <w:numId w:val="0"/>
              </w:numPr>
              <w:bidi w:val="0"/>
              <w:jc w:val="both"/>
              <w:rPr>
                <w:rFonts w:hint="eastAsia" w:ascii="宋体" w:hAnsi="宋体" w:eastAsia="宋体" w:cs="宋体"/>
                <w:color w:val="auto"/>
                <w:sz w:val="24"/>
                <w:szCs w:val="24"/>
                <w:lang w:val="en-US" w:eastAsia="zh-CN"/>
              </w:rPr>
            </w:pPr>
          </w:p>
        </w:tc>
        <w:tc>
          <w:tcPr>
            <w:tcW w:w="456" w:type="dxa"/>
            <w:vMerge w:val="continue"/>
            <w:tcBorders>
              <w:left w:val="single" w:color="000000" w:sz="4" w:space="0"/>
            </w:tcBorders>
            <w:noWrap w:val="0"/>
            <w:vAlign w:val="center"/>
          </w:tcPr>
          <w:p w14:paraId="376534A3">
            <w:pPr>
              <w:pStyle w:val="4"/>
              <w:numPr>
                <w:ilvl w:val="0"/>
                <w:numId w:val="0"/>
              </w:numPr>
              <w:bidi w:val="0"/>
              <w:jc w:val="both"/>
              <w:rPr>
                <w:rFonts w:hint="eastAsia" w:ascii="宋体" w:hAnsi="宋体" w:eastAsia="宋体" w:cs="宋体"/>
                <w:color w:val="auto"/>
                <w:sz w:val="24"/>
                <w:szCs w:val="24"/>
                <w:lang w:val="en-US" w:eastAsia="zh-CN"/>
              </w:rPr>
            </w:pPr>
          </w:p>
        </w:tc>
      </w:tr>
      <w:tr w14:paraId="718FA64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457" w:type="dxa"/>
            <w:vMerge w:val="continue"/>
            <w:tcBorders>
              <w:right w:val="single" w:color="auto" w:sz="4" w:space="0"/>
            </w:tcBorders>
            <w:shd w:val="clear" w:color="auto" w:fill="auto"/>
            <w:noWrap w:val="0"/>
            <w:vAlign w:val="center"/>
          </w:tcPr>
          <w:p w14:paraId="1A7DB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541" w:type="dxa"/>
            <w:vMerge w:val="continue"/>
            <w:tcBorders>
              <w:left w:val="single" w:color="000000" w:sz="4" w:space="0"/>
              <w:right w:val="single" w:color="auto" w:sz="4" w:space="0"/>
            </w:tcBorders>
            <w:shd w:val="clear" w:color="auto" w:fill="auto"/>
            <w:noWrap w:val="0"/>
            <w:vAlign w:val="center"/>
          </w:tcPr>
          <w:p w14:paraId="5C125C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D43EC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供压系统</w:t>
            </w:r>
          </w:p>
        </w:tc>
        <w:tc>
          <w:tcPr>
            <w:tcW w:w="600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885BBE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采用优质螺杆空压机、储气罐（符合压力容器标准）、干燥机、高精密过滤器等。</w:t>
            </w:r>
          </w:p>
          <w:p w14:paraId="727D3A3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2、螺杆空气压缩机排放量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1m³/min，风压</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0.8MPa，电机功率：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7.5Kw。全自动电脑控制，带消音装置、自动排水装置，加装气体后处理设备（冷干机储器罐）,无振动，设备耐压</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8000Pa。储气罐容量不少于0.8m</w:t>
            </w:r>
            <w:r>
              <w:rPr>
                <w:rFonts w:hint="eastAsia" w:ascii="宋体" w:hAnsi="宋体" w:eastAsia="宋体" w:cs="宋体"/>
                <w:color w:val="000000" w:themeColor="text1"/>
                <w:sz w:val="24"/>
                <w:szCs w:val="24"/>
                <w:vertAlign w:val="superscript"/>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462" w:type="dxa"/>
            <w:gridSpan w:val="2"/>
            <w:vMerge w:val="continue"/>
            <w:tcBorders>
              <w:left w:val="single" w:color="000000" w:sz="4" w:space="0"/>
              <w:right w:val="single" w:color="auto" w:sz="4" w:space="0"/>
            </w:tcBorders>
            <w:noWrap w:val="0"/>
            <w:vAlign w:val="center"/>
          </w:tcPr>
          <w:p w14:paraId="6AE424F4">
            <w:pPr>
              <w:pStyle w:val="4"/>
              <w:numPr>
                <w:ilvl w:val="0"/>
                <w:numId w:val="0"/>
              </w:numPr>
              <w:bidi w:val="0"/>
              <w:jc w:val="both"/>
              <w:rPr>
                <w:rFonts w:hint="eastAsia" w:ascii="宋体" w:hAnsi="宋体" w:eastAsia="宋体" w:cs="宋体"/>
                <w:color w:val="auto"/>
                <w:sz w:val="24"/>
                <w:szCs w:val="24"/>
                <w:lang w:val="en-US" w:eastAsia="zh-CN"/>
              </w:rPr>
            </w:pPr>
          </w:p>
        </w:tc>
        <w:tc>
          <w:tcPr>
            <w:tcW w:w="456" w:type="dxa"/>
            <w:vMerge w:val="continue"/>
            <w:tcBorders>
              <w:left w:val="single" w:color="000000" w:sz="4" w:space="0"/>
            </w:tcBorders>
            <w:noWrap w:val="0"/>
            <w:vAlign w:val="center"/>
          </w:tcPr>
          <w:p w14:paraId="04DBD38E">
            <w:pPr>
              <w:pStyle w:val="4"/>
              <w:numPr>
                <w:ilvl w:val="0"/>
                <w:numId w:val="0"/>
              </w:numPr>
              <w:bidi w:val="0"/>
              <w:jc w:val="both"/>
              <w:rPr>
                <w:rFonts w:hint="eastAsia" w:ascii="宋体" w:hAnsi="宋体" w:eastAsia="宋体" w:cs="宋体"/>
                <w:color w:val="auto"/>
                <w:sz w:val="24"/>
                <w:szCs w:val="24"/>
                <w:lang w:val="en-US" w:eastAsia="zh-CN"/>
              </w:rPr>
            </w:pPr>
          </w:p>
        </w:tc>
      </w:tr>
      <w:tr w14:paraId="3BA300C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457" w:type="dxa"/>
            <w:vMerge w:val="continue"/>
            <w:tcBorders>
              <w:right w:val="single" w:color="auto" w:sz="4" w:space="0"/>
            </w:tcBorders>
            <w:shd w:val="clear" w:color="auto" w:fill="auto"/>
            <w:noWrap w:val="0"/>
            <w:vAlign w:val="center"/>
          </w:tcPr>
          <w:p w14:paraId="530FC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541" w:type="dxa"/>
            <w:vMerge w:val="continue"/>
            <w:tcBorders>
              <w:left w:val="single" w:color="000000" w:sz="4" w:space="0"/>
              <w:right w:val="single" w:color="auto" w:sz="4" w:space="0"/>
            </w:tcBorders>
            <w:shd w:val="clear" w:color="auto" w:fill="auto"/>
            <w:noWrap w:val="0"/>
            <w:vAlign w:val="center"/>
          </w:tcPr>
          <w:p w14:paraId="4E36F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6513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自动控制要求</w:t>
            </w:r>
          </w:p>
        </w:tc>
        <w:tc>
          <w:tcPr>
            <w:tcW w:w="600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F9CF6A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自动控制系统可兼容接入火化机控制软件，在火化机控制火化烟气净化处理设备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具有自动、点动和手动控制三种方式，可以自由切换互不干扰。</w:t>
            </w:r>
          </w:p>
          <w:p w14:paraId="2EE010F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尾气处理系统采用优质PLC及模块和触摸屏控制。控制系统须有欠压、过载、报警保护，须有运行画面或指示灯，同步可读数据显示，各种检测元件及实时反馈等。</w:t>
            </w:r>
          </w:p>
          <w:p w14:paraId="0779AF5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3、采用独立的动力控制柜，动力控制柜符合工频耐受电压测试要求、符合电击防护和保护电路完整性要求。</w:t>
            </w:r>
          </w:p>
          <w:p w14:paraId="4C2BA0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4、控制操作界面采用10寸以上彩色触摸屏</w:t>
            </w:r>
            <w:r>
              <w:rPr>
                <w:rFonts w:hint="eastAsia" w:ascii="宋体" w:hAnsi="宋体" w:eastAsia="宋体" w:cs="宋体"/>
                <w:color w:val="000000" w:themeColor="text1"/>
                <w:sz w:val="24"/>
                <w:szCs w:val="24"/>
                <w14:textFill>
                  <w14:solidFill>
                    <w14:schemeClr w14:val="tx1"/>
                  </w14:solidFill>
                </w14:textFill>
              </w:rPr>
              <w:t>，动态显示各设备运行状态，多段温度显示，设备运行情况直观明了。</w:t>
            </w:r>
          </w:p>
          <w:p w14:paraId="274632D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超温自动报警，具备同步设备运行信号显示功能。</w:t>
            </w:r>
          </w:p>
          <w:p w14:paraId="4E1082B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控制系统须有欠压、过载、报警保护，须有运行画面或指示灯，同步可读数据显示，各种检测元件及实时反馈等。</w:t>
            </w:r>
          </w:p>
          <w:p w14:paraId="0224CF9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当布袋除尘系统过滤不正常或超温时自动切换功能</w:t>
            </w:r>
          </w:p>
        </w:tc>
        <w:tc>
          <w:tcPr>
            <w:tcW w:w="462" w:type="dxa"/>
            <w:gridSpan w:val="2"/>
            <w:vMerge w:val="continue"/>
            <w:tcBorders>
              <w:left w:val="single" w:color="000000" w:sz="4" w:space="0"/>
              <w:right w:val="single" w:color="auto" w:sz="4" w:space="0"/>
            </w:tcBorders>
            <w:noWrap w:val="0"/>
            <w:vAlign w:val="center"/>
          </w:tcPr>
          <w:p w14:paraId="5479CDA2">
            <w:pPr>
              <w:pStyle w:val="4"/>
              <w:numPr>
                <w:ilvl w:val="0"/>
                <w:numId w:val="0"/>
              </w:numPr>
              <w:bidi w:val="0"/>
              <w:jc w:val="both"/>
              <w:rPr>
                <w:rFonts w:hint="eastAsia" w:ascii="宋体" w:hAnsi="宋体" w:eastAsia="宋体" w:cs="宋体"/>
                <w:color w:val="auto"/>
                <w:sz w:val="24"/>
                <w:szCs w:val="24"/>
                <w:lang w:val="en-US" w:eastAsia="zh-CN"/>
              </w:rPr>
            </w:pPr>
          </w:p>
        </w:tc>
        <w:tc>
          <w:tcPr>
            <w:tcW w:w="456" w:type="dxa"/>
            <w:vMerge w:val="continue"/>
            <w:tcBorders>
              <w:left w:val="single" w:color="000000" w:sz="4" w:space="0"/>
            </w:tcBorders>
            <w:noWrap w:val="0"/>
            <w:vAlign w:val="center"/>
          </w:tcPr>
          <w:p w14:paraId="57E9A3D9">
            <w:pPr>
              <w:pStyle w:val="4"/>
              <w:numPr>
                <w:ilvl w:val="0"/>
                <w:numId w:val="0"/>
              </w:numPr>
              <w:bidi w:val="0"/>
              <w:jc w:val="both"/>
              <w:rPr>
                <w:rFonts w:hint="eastAsia" w:ascii="宋体" w:hAnsi="宋体" w:eastAsia="宋体" w:cs="宋体"/>
                <w:color w:val="auto"/>
                <w:sz w:val="24"/>
                <w:szCs w:val="24"/>
                <w:lang w:val="en-US" w:eastAsia="zh-CN"/>
              </w:rPr>
            </w:pPr>
          </w:p>
        </w:tc>
      </w:tr>
      <w:tr w14:paraId="4D07EC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457" w:type="dxa"/>
            <w:vMerge w:val="continue"/>
            <w:tcBorders>
              <w:right w:val="single" w:color="auto" w:sz="4" w:space="0"/>
            </w:tcBorders>
            <w:shd w:val="clear" w:color="auto" w:fill="auto"/>
            <w:noWrap w:val="0"/>
            <w:vAlign w:val="center"/>
          </w:tcPr>
          <w:p w14:paraId="469C1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541" w:type="dxa"/>
            <w:vMerge w:val="continue"/>
            <w:tcBorders>
              <w:left w:val="single" w:color="000000" w:sz="4" w:space="0"/>
              <w:right w:val="single" w:color="auto" w:sz="4" w:space="0"/>
            </w:tcBorders>
            <w:shd w:val="clear" w:color="auto" w:fill="auto"/>
            <w:noWrap w:val="0"/>
            <w:vAlign w:val="center"/>
          </w:tcPr>
          <w:p w14:paraId="0EDED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rPr>
            </w:pPr>
          </w:p>
        </w:tc>
        <w:tc>
          <w:tcPr>
            <w:tcW w:w="104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F59C3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设备安全要求</w:t>
            </w:r>
          </w:p>
        </w:tc>
        <w:tc>
          <w:tcPr>
            <w:tcW w:w="600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9AA4EA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1、建筑设施情况下</w:t>
            </w:r>
            <w:r>
              <w:rPr>
                <w:rFonts w:hint="eastAsia" w:ascii="宋体" w:hAnsi="宋体" w:eastAsia="宋体" w:cs="宋体"/>
                <w:color w:val="auto"/>
                <w:sz w:val="24"/>
                <w:szCs w:val="24"/>
              </w:rPr>
              <w:t>整体采用合格的防雷措施，保证设备的安全运行。</w:t>
            </w:r>
          </w:p>
          <w:p w14:paraId="149558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电器控制及电器设备金属外壳接地保护必须连接牢固</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保证设备的安全运行。</w:t>
            </w:r>
          </w:p>
        </w:tc>
        <w:tc>
          <w:tcPr>
            <w:tcW w:w="462" w:type="dxa"/>
            <w:gridSpan w:val="2"/>
            <w:vMerge w:val="continue"/>
            <w:tcBorders>
              <w:left w:val="single" w:color="000000" w:sz="4" w:space="0"/>
              <w:right w:val="single" w:color="auto" w:sz="4" w:space="0"/>
            </w:tcBorders>
            <w:noWrap w:val="0"/>
            <w:vAlign w:val="center"/>
          </w:tcPr>
          <w:p w14:paraId="435A4A80">
            <w:pPr>
              <w:pStyle w:val="4"/>
              <w:numPr>
                <w:ilvl w:val="0"/>
                <w:numId w:val="0"/>
              </w:numPr>
              <w:bidi w:val="0"/>
              <w:jc w:val="both"/>
              <w:rPr>
                <w:rFonts w:hint="eastAsia" w:ascii="宋体" w:hAnsi="宋体" w:eastAsia="宋体" w:cs="宋体"/>
                <w:color w:val="auto"/>
                <w:sz w:val="24"/>
                <w:szCs w:val="24"/>
                <w:lang w:val="en-US" w:eastAsia="zh-CN"/>
              </w:rPr>
            </w:pPr>
          </w:p>
        </w:tc>
        <w:tc>
          <w:tcPr>
            <w:tcW w:w="456" w:type="dxa"/>
            <w:vMerge w:val="continue"/>
            <w:tcBorders>
              <w:left w:val="single" w:color="000000" w:sz="4" w:space="0"/>
            </w:tcBorders>
            <w:noWrap w:val="0"/>
            <w:vAlign w:val="center"/>
          </w:tcPr>
          <w:p w14:paraId="195DBD79">
            <w:pPr>
              <w:pStyle w:val="4"/>
              <w:numPr>
                <w:ilvl w:val="0"/>
                <w:numId w:val="0"/>
              </w:numPr>
              <w:bidi w:val="0"/>
              <w:jc w:val="both"/>
              <w:rPr>
                <w:rFonts w:hint="eastAsia" w:ascii="宋体" w:hAnsi="宋体" w:eastAsia="宋体" w:cs="宋体"/>
                <w:color w:val="auto"/>
                <w:sz w:val="24"/>
                <w:szCs w:val="24"/>
                <w:lang w:val="en-US" w:eastAsia="zh-CN"/>
              </w:rPr>
            </w:pPr>
          </w:p>
        </w:tc>
      </w:tr>
      <w:tr w14:paraId="170CAC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457" w:type="dxa"/>
            <w:vMerge w:val="continue"/>
            <w:tcBorders>
              <w:right w:val="single" w:color="auto" w:sz="4" w:space="0"/>
            </w:tcBorders>
            <w:shd w:val="clear" w:color="auto" w:fill="auto"/>
            <w:noWrap w:val="0"/>
            <w:vAlign w:val="center"/>
          </w:tcPr>
          <w:p w14:paraId="34D9CC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541" w:type="dxa"/>
            <w:vMerge w:val="continue"/>
            <w:tcBorders>
              <w:left w:val="single" w:color="000000" w:sz="4" w:space="0"/>
              <w:right w:val="single" w:color="auto" w:sz="4" w:space="0"/>
            </w:tcBorders>
            <w:shd w:val="clear" w:color="auto" w:fill="auto"/>
            <w:noWrap w:val="0"/>
            <w:vAlign w:val="center"/>
          </w:tcPr>
          <w:p w14:paraId="3B31F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rPr>
            </w:pPr>
          </w:p>
        </w:tc>
        <w:tc>
          <w:tcPr>
            <w:tcW w:w="104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7B03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排放的效果要求</w:t>
            </w:r>
          </w:p>
        </w:tc>
        <w:tc>
          <w:tcPr>
            <w:tcW w:w="600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8815CD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经处理的尾气所含物质含量必须达到国家现行</w:t>
            </w:r>
            <w:r>
              <w:rPr>
                <w:rFonts w:hint="eastAsia" w:ascii="宋体" w:hAnsi="宋体" w:eastAsia="宋体" w:cs="宋体"/>
                <w:color w:val="auto"/>
                <w:sz w:val="24"/>
                <w:szCs w:val="24"/>
                <w:lang w:val="en-US" w:eastAsia="zh-CN"/>
              </w:rPr>
              <w:t>火葬场</w:t>
            </w:r>
            <w:r>
              <w:rPr>
                <w:rFonts w:hint="eastAsia" w:ascii="宋体" w:hAnsi="宋体" w:eastAsia="宋体" w:cs="宋体"/>
                <w:color w:val="auto"/>
                <w:sz w:val="24"/>
                <w:szCs w:val="24"/>
              </w:rPr>
              <w:t>大气污染物排放限值（GB13801-2015排放标准）。</w:t>
            </w:r>
          </w:p>
        </w:tc>
        <w:tc>
          <w:tcPr>
            <w:tcW w:w="462" w:type="dxa"/>
            <w:gridSpan w:val="2"/>
            <w:vMerge w:val="continue"/>
            <w:tcBorders>
              <w:left w:val="single" w:color="000000" w:sz="4" w:space="0"/>
              <w:right w:val="single" w:color="auto" w:sz="4" w:space="0"/>
            </w:tcBorders>
            <w:noWrap w:val="0"/>
            <w:vAlign w:val="center"/>
          </w:tcPr>
          <w:p w14:paraId="4847BB3B">
            <w:pPr>
              <w:pStyle w:val="4"/>
              <w:numPr>
                <w:ilvl w:val="0"/>
                <w:numId w:val="0"/>
              </w:numPr>
              <w:bidi w:val="0"/>
              <w:jc w:val="both"/>
              <w:rPr>
                <w:rFonts w:hint="eastAsia" w:ascii="宋体" w:hAnsi="宋体" w:eastAsia="宋体" w:cs="宋体"/>
                <w:color w:val="auto"/>
                <w:sz w:val="24"/>
                <w:szCs w:val="24"/>
                <w:lang w:val="en-US" w:eastAsia="zh-CN"/>
              </w:rPr>
            </w:pPr>
          </w:p>
        </w:tc>
        <w:tc>
          <w:tcPr>
            <w:tcW w:w="456" w:type="dxa"/>
            <w:vMerge w:val="continue"/>
            <w:tcBorders>
              <w:left w:val="single" w:color="000000" w:sz="4" w:space="0"/>
            </w:tcBorders>
            <w:noWrap w:val="0"/>
            <w:vAlign w:val="center"/>
          </w:tcPr>
          <w:p w14:paraId="1E01FD9D">
            <w:pPr>
              <w:pStyle w:val="4"/>
              <w:numPr>
                <w:ilvl w:val="0"/>
                <w:numId w:val="0"/>
              </w:numPr>
              <w:bidi w:val="0"/>
              <w:jc w:val="both"/>
              <w:rPr>
                <w:rFonts w:hint="eastAsia" w:ascii="宋体" w:hAnsi="宋体" w:eastAsia="宋体" w:cs="宋体"/>
                <w:color w:val="auto"/>
                <w:sz w:val="24"/>
                <w:szCs w:val="24"/>
                <w:lang w:val="en-US" w:eastAsia="zh-CN"/>
              </w:rPr>
            </w:pPr>
          </w:p>
        </w:tc>
      </w:tr>
      <w:tr w14:paraId="7D01A7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457" w:type="dxa"/>
            <w:vMerge w:val="continue"/>
            <w:tcBorders>
              <w:bottom w:val="single" w:color="000000" w:sz="4" w:space="0"/>
              <w:right w:val="single" w:color="auto" w:sz="4" w:space="0"/>
            </w:tcBorders>
            <w:shd w:val="clear" w:color="auto" w:fill="auto"/>
            <w:noWrap w:val="0"/>
            <w:vAlign w:val="center"/>
          </w:tcPr>
          <w:p w14:paraId="68BF8B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541" w:type="dxa"/>
            <w:vMerge w:val="continue"/>
            <w:tcBorders>
              <w:left w:val="single" w:color="000000" w:sz="4" w:space="0"/>
              <w:bottom w:val="single" w:color="000000" w:sz="4" w:space="0"/>
              <w:right w:val="single" w:color="auto" w:sz="4" w:space="0"/>
            </w:tcBorders>
            <w:shd w:val="clear" w:color="auto" w:fill="auto"/>
            <w:noWrap w:val="0"/>
            <w:vAlign w:val="center"/>
          </w:tcPr>
          <w:p w14:paraId="4FC59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rPr>
            </w:pPr>
          </w:p>
        </w:tc>
        <w:tc>
          <w:tcPr>
            <w:tcW w:w="104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C0EE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rPr>
            </w:pPr>
            <w:r>
              <w:rPr>
                <w:rFonts w:hint="eastAsia" w:asciiTheme="minorEastAsia" w:hAnsiTheme="minorEastAsia" w:eastAsiaTheme="minorEastAsia" w:cstheme="minorEastAsia"/>
                <w:b/>
                <w:bCs/>
                <w:sz w:val="24"/>
              </w:rPr>
              <w:t>尾气除尘</w:t>
            </w:r>
          </w:p>
        </w:tc>
        <w:tc>
          <w:tcPr>
            <w:tcW w:w="600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3B743DD">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cs="宋体" w:eastAsiaTheme="minorEastAsia"/>
                <w:color w:val="auto"/>
                <w:sz w:val="24"/>
                <w:szCs w:val="24"/>
                <w:lang w:eastAsia="zh-CN"/>
              </w:rPr>
            </w:pPr>
            <w:r>
              <w:rPr>
                <w:rFonts w:hint="eastAsia" w:asciiTheme="minorEastAsia" w:hAnsiTheme="minorEastAsia" w:eastAsiaTheme="minorEastAsia" w:cstheme="minorEastAsia"/>
                <w:b/>
                <w:bCs/>
                <w:sz w:val="24"/>
              </w:rPr>
              <w:t>主要材料为3mm不锈钢制作，脉冲布袋除尘器布脉应用高温布袋，过滤面积不低于110㎡，压缩机采用螺杆式空压机，排放量≥1立方/秒，耐压0.8MPa。尾气处理设备提供环境检测报告</w:t>
            </w:r>
            <w:r>
              <w:rPr>
                <w:rFonts w:hint="eastAsia" w:asciiTheme="minorEastAsia" w:hAnsiTheme="minorEastAsia" w:eastAsiaTheme="minorEastAsia" w:cstheme="minorEastAsia"/>
                <w:b/>
                <w:bCs/>
                <w:sz w:val="24"/>
                <w:lang w:eastAsia="zh-CN"/>
              </w:rPr>
              <w:t>。</w:t>
            </w:r>
          </w:p>
        </w:tc>
        <w:tc>
          <w:tcPr>
            <w:tcW w:w="462" w:type="dxa"/>
            <w:gridSpan w:val="2"/>
            <w:tcBorders>
              <w:left w:val="single" w:color="000000" w:sz="4" w:space="0"/>
              <w:bottom w:val="single" w:color="000000" w:sz="4" w:space="0"/>
              <w:right w:val="single" w:color="auto" w:sz="4" w:space="0"/>
            </w:tcBorders>
            <w:noWrap w:val="0"/>
            <w:vAlign w:val="center"/>
          </w:tcPr>
          <w:p w14:paraId="3F667D2F">
            <w:pPr>
              <w:pStyle w:val="4"/>
              <w:numPr>
                <w:ilvl w:val="0"/>
                <w:numId w:val="0"/>
              </w:numPr>
              <w:bidi w:val="0"/>
              <w:jc w:val="both"/>
              <w:rPr>
                <w:rFonts w:hint="eastAsia" w:ascii="宋体" w:hAnsi="宋体" w:eastAsia="宋体" w:cs="宋体"/>
                <w:color w:val="auto"/>
                <w:sz w:val="24"/>
                <w:szCs w:val="24"/>
                <w:lang w:val="en-US" w:eastAsia="zh-CN"/>
              </w:rPr>
            </w:pPr>
          </w:p>
        </w:tc>
        <w:tc>
          <w:tcPr>
            <w:tcW w:w="456" w:type="dxa"/>
            <w:tcBorders>
              <w:left w:val="single" w:color="000000" w:sz="4" w:space="0"/>
              <w:bottom w:val="single" w:color="000000" w:sz="4" w:space="0"/>
            </w:tcBorders>
            <w:noWrap w:val="0"/>
            <w:vAlign w:val="center"/>
          </w:tcPr>
          <w:p w14:paraId="2F0E486E">
            <w:pPr>
              <w:pStyle w:val="4"/>
              <w:numPr>
                <w:ilvl w:val="0"/>
                <w:numId w:val="0"/>
              </w:numPr>
              <w:bidi w:val="0"/>
              <w:jc w:val="both"/>
              <w:rPr>
                <w:rFonts w:hint="eastAsia" w:ascii="宋体" w:hAnsi="宋体" w:eastAsia="宋体" w:cs="宋体"/>
                <w:color w:val="auto"/>
                <w:sz w:val="24"/>
                <w:szCs w:val="24"/>
                <w:lang w:val="en-US" w:eastAsia="zh-CN"/>
              </w:rPr>
            </w:pPr>
          </w:p>
        </w:tc>
      </w:tr>
    </w:tbl>
    <w:p w14:paraId="02FE1117">
      <w:pPr>
        <w:pStyle w:val="12"/>
        <w:jc w:val="center"/>
        <w:rPr>
          <w:rFonts w:hint="eastAsia" w:ascii="宋体" w:hAnsi="宋体" w:eastAsia="宋体" w:cs="宋体"/>
          <w:b/>
          <w:bCs/>
          <w:color w:val="auto"/>
          <w:sz w:val="24"/>
          <w:szCs w:val="24"/>
          <w:lang w:val="en-US" w:eastAsia="zh-CN"/>
        </w:rPr>
      </w:pPr>
    </w:p>
    <w:p w14:paraId="5C5C98D9">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注：本招标项目必须要实质性满足技术要求和商务要求：</w:t>
      </w:r>
    </w:p>
    <w:p w14:paraId="07BBD19D">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1、供应商提供的货物必须是原装全新、高于或等于竞争性谈判文件规定技术参数的产品。</w:t>
      </w:r>
    </w:p>
    <w:p w14:paraId="591703FD">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属于节能产品政府采购品目清单规定必须强制采购的；必须采购当期节能产品政府采购品目清单内设备或产品；在价格、技术、服务等指标同等条件下，优先采购节能、环保产品（需提供供应商所投产品属于政府采购品目清单规定的节能环保产品的证明材料）。</w:t>
      </w:r>
    </w:p>
    <w:p w14:paraId="5235CF46">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3、本标的所属行业：</w:t>
      </w:r>
      <w:r>
        <w:rPr>
          <w:rFonts w:hint="eastAsia" w:asciiTheme="minorEastAsia" w:hAnsiTheme="minorEastAsia" w:eastAsiaTheme="minorEastAsia" w:cstheme="minorEastAsia"/>
          <w:b/>
          <w:bCs/>
          <w:sz w:val="24"/>
          <w:lang w:val="en-US" w:eastAsia="zh-CN"/>
        </w:rPr>
        <w:t>工业</w:t>
      </w:r>
      <w:r>
        <w:rPr>
          <w:rFonts w:hint="eastAsia" w:asciiTheme="minorEastAsia" w:hAnsiTheme="minorEastAsia" w:eastAsiaTheme="minorEastAsia" w:cstheme="minorEastAsia"/>
          <w:b/>
          <w:bCs/>
          <w:sz w:val="24"/>
        </w:rPr>
        <w:t>。</w:t>
      </w:r>
    </w:p>
    <w:p w14:paraId="76C3D533">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default"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4、本项目的核心产品：平板火化炉。</w:t>
      </w:r>
    </w:p>
    <w:p w14:paraId="28C03406">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5、其</w:t>
      </w:r>
      <w:bookmarkStart w:id="50" w:name="_GoBack"/>
      <w:bookmarkEnd w:id="50"/>
      <w:r>
        <w:rPr>
          <w:rFonts w:hint="eastAsia" w:asciiTheme="minorEastAsia" w:hAnsiTheme="minorEastAsia" w:eastAsiaTheme="minorEastAsia" w:cstheme="minorEastAsia"/>
          <w:b/>
          <w:bCs/>
          <w:sz w:val="24"/>
          <w:lang w:val="en-US" w:eastAsia="zh-CN"/>
        </w:rPr>
        <w:t xml:space="preserve">它要求： </w:t>
      </w:r>
    </w:p>
    <w:p w14:paraId="2509CA9D">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 xml:space="preserve">（一）产品质保2 年，提供终身技术支持；质保期内提供每年不低于 2 次现场设备维护（软件产品免费升级、硬件维护、产品培训等），质保期外提供每年不低于 1 次产品售后回访。 </w:t>
      </w:r>
    </w:p>
    <w:p w14:paraId="6BCACA0E">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（二）产品交付时提供现场使用培训（设备使用、注意事项、日常保养等）不低于 2 个课时。</w:t>
      </w:r>
    </w:p>
    <w:p w14:paraId="7F405F63">
      <w:pPr>
        <w:rPr>
          <w:rFonts w:hint="eastAsia"/>
          <w:b/>
          <w:bCs/>
          <w:color w:val="000000" w:themeColor="text1"/>
          <w:kern w:val="0"/>
          <w:sz w:val="28"/>
          <w:szCs w:val="28"/>
          <w14:textFill>
            <w14:solidFill>
              <w14:schemeClr w14:val="tx1"/>
            </w14:solidFill>
          </w14:textFill>
        </w:rPr>
      </w:pPr>
      <w:r>
        <w:rPr>
          <w:rFonts w:hint="eastAsia"/>
          <w:b/>
          <w:bCs/>
          <w:color w:val="000000" w:themeColor="text1"/>
          <w:kern w:val="0"/>
          <w:sz w:val="28"/>
          <w:szCs w:val="28"/>
          <w14:textFill>
            <w14:solidFill>
              <w14:schemeClr w14:val="tx1"/>
            </w14:solidFill>
          </w14:textFill>
        </w:rPr>
        <w:br w:type="page"/>
      </w:r>
    </w:p>
    <w:p w14:paraId="603E1849">
      <w:pPr>
        <w:jc w:val="center"/>
        <w:rPr>
          <w:color w:val="000000" w:themeColor="text1"/>
          <w:kern w:val="0"/>
          <w:sz w:val="28"/>
          <w:szCs w:val="28"/>
          <w14:textFill>
            <w14:solidFill>
              <w14:schemeClr w14:val="tx1"/>
            </w14:solidFill>
          </w14:textFill>
        </w:rPr>
      </w:pPr>
      <w:r>
        <w:rPr>
          <w:rFonts w:hint="eastAsia"/>
          <w:b/>
          <w:bCs/>
          <w:color w:val="000000" w:themeColor="text1"/>
          <w:kern w:val="0"/>
          <w:sz w:val="28"/>
          <w:szCs w:val="28"/>
          <w14:textFill>
            <w14:solidFill>
              <w14:schemeClr w14:val="tx1"/>
            </w14:solidFill>
          </w14:textFill>
        </w:rPr>
        <w:t>第六部分 合同格式及主要条款</w:t>
      </w:r>
      <w:bookmarkEnd w:id="31"/>
    </w:p>
    <w:p w14:paraId="1D9F61E2">
      <w:pPr>
        <w:rPr>
          <w:color w:val="000000" w:themeColor="text1"/>
          <w14:textFill>
            <w14:solidFill>
              <w14:schemeClr w14:val="tx1"/>
            </w14:solidFill>
          </w14:textFill>
        </w:rPr>
      </w:pPr>
    </w:p>
    <w:p w14:paraId="01CB2E30">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甲方：（采购单位）</w:t>
      </w:r>
    </w:p>
    <w:p w14:paraId="2338673B">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乙方：（供应商 ）</w:t>
      </w:r>
    </w:p>
    <w:p w14:paraId="4694E9DA">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甲、乙双方持采购人、采购代理公司签发的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采购项目成交通知书，根据采购文件、响应性文件的内容，并经双方协商一致，达成以下合同条款：</w:t>
      </w:r>
    </w:p>
    <w:p w14:paraId="21DA48E0">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一、本合同所指货物为此次采购的货物（注明品名、规格、数量、单价等技术要求），合同总价款为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元（大写）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1B4801E4">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二、货物质量要求及乙方对质量负责条件和期限：</w:t>
      </w:r>
    </w:p>
    <w:p w14:paraId="2E943428">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乙方提供的货物是达到乙方响应文件及澄清中的技术标准。（售后服务要求按采购文件及响应性文件相应条款制订）</w:t>
      </w:r>
    </w:p>
    <w:p w14:paraId="556B838F">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三、交货时间、地点、方式、验收：</w:t>
      </w:r>
    </w:p>
    <w:p w14:paraId="037A743A">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乙方应于 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 xml:space="preserve"> 年  月  日前按甲方要求在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（甲方指定地点）将货物运送达到验收条件。货物运送产生的费用由乙方负责。</w:t>
      </w:r>
      <w:r>
        <w:rPr>
          <w:rFonts w:hint="eastAsia" w:ascii="宋体" w:hAnsi="宋体" w:cs="宋体"/>
          <w:sz w:val="24"/>
        </w:rPr>
        <w:t>由甲方组织相关人员进行验收。</w:t>
      </w:r>
    </w:p>
    <w:p w14:paraId="57FBF1FA">
      <w:pPr>
        <w:widowControl/>
        <w:spacing w:line="500" w:lineRule="exact"/>
        <w:ind w:firstLine="480" w:firstLineChars="200"/>
        <w:rPr>
          <w:rFonts w:hint="eastAsia" w:ascii="宋体" w:hAnsi="宋体" w:eastAsia="宋体" w:cs="宋体"/>
          <w:b w:val="0"/>
          <w:bCs/>
          <w:color w:val="auto"/>
          <w:kern w:val="2"/>
          <w:sz w:val="24"/>
          <w:szCs w:val="24"/>
          <w:highlight w:val="none"/>
          <w:lang w:val="en-US" w:eastAsia="zh-CN"/>
        </w:rPr>
      </w:pPr>
      <w:r>
        <w:rPr>
          <w:rFonts w:hint="eastAsia" w:ascii="宋体" w:hAnsi="宋体" w:cs="宋体"/>
          <w:color w:val="000000" w:themeColor="text1"/>
          <w:sz w:val="24"/>
          <w:lang w:val="en-US" w:eastAsia="zh-CN"/>
          <w14:textFill>
            <w14:solidFill>
              <w14:schemeClr w14:val="tx1"/>
            </w14:solidFill>
          </w14:textFill>
        </w:rPr>
        <w:t>四、</w:t>
      </w:r>
      <w:r>
        <w:rPr>
          <w:rFonts w:hint="eastAsia" w:ascii="宋体" w:hAnsi="宋体" w:cs="宋体"/>
          <w:color w:val="000000" w:themeColor="text1"/>
          <w:sz w:val="24"/>
          <w14:textFill>
            <w14:solidFill>
              <w14:schemeClr w14:val="tx1"/>
            </w14:solidFill>
          </w14:textFill>
        </w:rPr>
        <w:t>付款方式：</w:t>
      </w:r>
      <w:r>
        <w:rPr>
          <w:rFonts w:hint="eastAsia" w:ascii="宋体" w:hAnsi="宋体" w:eastAsia="宋体" w:cs="宋体"/>
          <w:b w:val="0"/>
          <w:bCs/>
          <w:color w:val="auto"/>
          <w:kern w:val="2"/>
          <w:sz w:val="24"/>
          <w:szCs w:val="24"/>
          <w:highlight w:val="none"/>
          <w:lang w:val="en-US" w:eastAsia="zh-CN"/>
        </w:rPr>
        <w:t>项目完工验收合格后支付合同价款的75%，一年期满支付合同价款的15%，两年期满支付合同价款的10%。</w:t>
      </w:r>
    </w:p>
    <w:p w14:paraId="73573FD6">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五、违约责任：甲方无正当理由拒收货物、拒付货款的，向乙方偿付拒收拒付部分货物款总额的________违约金。</w:t>
      </w:r>
    </w:p>
    <w:p w14:paraId="1E12F104">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乙方所交货物的规格型号、技术要求、质量品质等不符合合同规定，甲方有权拒收货物，乙方应负责更换并承担因更换而支付的全部实际费用。因更换而造成逾期交货，则按逾期交货处理。</w:t>
      </w:r>
    </w:p>
    <w:p w14:paraId="7C53D853">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乙方不能交付货物的，乙方向甲方支付未交付部分货物款总额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违约金。</w:t>
      </w:r>
    </w:p>
    <w:p w14:paraId="6DB83AE3">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若因中标人（成交人）原因不能按期按质供货的，将扣除中标人（成交人）2万元的违约金，同时每超过一天另扣除合同金额的千分之一。</w:t>
      </w:r>
    </w:p>
    <w:p w14:paraId="5EE05E8A">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13A06A7D">
      <w:pPr>
        <w:adjustRightInd w:val="0"/>
        <w:spacing w:line="360" w:lineRule="auto"/>
        <w:ind w:firstLine="480" w:firstLineChars="200"/>
        <w:textAlignment w:val="baseline"/>
        <w:rPr>
          <w:rFonts w:ascii="宋体" w:hAnsi="宋体" w:cs="宋体"/>
          <w:color w:val="0000FF"/>
          <w:sz w:val="24"/>
        </w:rPr>
      </w:pPr>
      <w:r>
        <w:rPr>
          <w:rFonts w:hint="eastAsia" w:ascii="宋体" w:hAnsi="宋体" w:cs="宋体"/>
          <w:color w:val="000000" w:themeColor="text1"/>
          <w:sz w:val="24"/>
          <w14:textFill>
            <w14:solidFill>
              <w14:schemeClr w14:val="tx1"/>
            </w14:solidFill>
          </w14:textFill>
        </w:rPr>
        <w:t>六、因货物的质量问题发生争议，</w:t>
      </w:r>
      <w:r>
        <w:rPr>
          <w:rFonts w:hint="eastAsia" w:ascii="宋体" w:hAnsi="宋体" w:cs="宋体"/>
          <w:sz w:val="24"/>
        </w:rPr>
        <w:t>由甲方所在地市级技术监督单位进行质量鉴定。</w:t>
      </w:r>
    </w:p>
    <w:p w14:paraId="35250798">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七、甲乙双方应严格遵守投标要求和供应商须知，如有违反，按投标要求和供应商须知规定予以处理。</w:t>
      </w:r>
    </w:p>
    <w:p w14:paraId="2963CC34">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八、采购文件及其修改补充、投标文件及其修改补充澄清均为本合同的组成部分。</w:t>
      </w:r>
    </w:p>
    <w:p w14:paraId="336686D1">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九、本合同发生争议时双方应按合同条款协商解决。双方协商不成的，可以根据仲裁协议向当地仲裁机构申请仲裁。当事人没有订立仲裁协议或者仲裁协议无效的，可以向当地人民法院起诉。</w:t>
      </w:r>
    </w:p>
    <w:p w14:paraId="01819CA8">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十、合同生效及其它：</w:t>
      </w:r>
    </w:p>
    <w:p w14:paraId="7312256C">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本合同经甲、乙双方代表签字、加盖公章和骑缝章后生效。本合同一式五份，甲乙双方各持两份。合同签订后在2个工作日内，采购人将合同在焦作市政府采购网公示并备案。</w:t>
      </w:r>
    </w:p>
    <w:p w14:paraId="37610C6C">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甲方：</w:t>
      </w:r>
    </w:p>
    <w:p w14:paraId="5631A751">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地址：</w:t>
      </w:r>
    </w:p>
    <w:p w14:paraId="623573AF">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                   法定代表人：</w:t>
      </w:r>
    </w:p>
    <w:p w14:paraId="659FE650">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                   委托代理人：</w:t>
      </w:r>
    </w:p>
    <w:p w14:paraId="3B837709">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电话：</w:t>
      </w:r>
    </w:p>
    <w:p w14:paraId="3FD86A7F">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开户银行：</w:t>
      </w:r>
    </w:p>
    <w:p w14:paraId="68D0F2D6">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银行账号：</w:t>
      </w:r>
    </w:p>
    <w:p w14:paraId="4670F237">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签约时间：                     签约地点：</w:t>
      </w:r>
    </w:p>
    <w:p w14:paraId="7A47926C">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重要提示：</w:t>
      </w:r>
      <w:r>
        <w:rPr>
          <w:rFonts w:hint="eastAsia" w:ascii="宋体" w:hAnsi="宋体" w:cs="宋体"/>
          <w:color w:val="000000" w:themeColor="text1"/>
          <w:sz w:val="24"/>
          <w14:textFill>
            <w14:solidFill>
              <w14:schemeClr w14:val="tx1"/>
            </w14:solidFill>
          </w14:textFill>
        </w:rPr>
        <w:t>以上合同文本作为签订合同的重要依据，涉及付款方式、供应商名称等实质性内容不得变更。其他部分按照竞争性谈判文件及采购资料增减确定。</w:t>
      </w:r>
    </w:p>
    <w:p w14:paraId="342E87DC">
      <w:pPr>
        <w:rPr>
          <w:color w:val="000000" w:themeColor="text1"/>
          <w:kern w:val="0"/>
          <w:sz w:val="28"/>
          <w:szCs w:val="28"/>
          <w14:textFill>
            <w14:solidFill>
              <w14:schemeClr w14:val="tx1"/>
            </w14:solidFill>
          </w14:textFill>
        </w:rPr>
      </w:pPr>
      <w:bookmarkStart w:id="33" w:name="_Toc27415"/>
      <w:r>
        <w:rPr>
          <w:rFonts w:hint="eastAsia"/>
          <w:color w:val="000000" w:themeColor="text1"/>
          <w:kern w:val="0"/>
          <w:sz w:val="28"/>
          <w:szCs w:val="28"/>
          <w14:textFill>
            <w14:solidFill>
              <w14:schemeClr w14:val="tx1"/>
            </w14:solidFill>
          </w14:textFill>
        </w:rPr>
        <w:br w:type="page"/>
      </w:r>
    </w:p>
    <w:p w14:paraId="0EC55A8B">
      <w:pPr>
        <w:pStyle w:val="3"/>
        <w:spacing w:before="0" w:after="0" w:line="360" w:lineRule="auto"/>
        <w:jc w:val="center"/>
        <w:rPr>
          <w:color w:val="000000" w:themeColor="text1"/>
          <w:kern w:val="0"/>
          <w:sz w:val="28"/>
          <w:szCs w:val="28"/>
          <w14:textFill>
            <w14:solidFill>
              <w14:schemeClr w14:val="tx1"/>
            </w14:solidFill>
          </w14:textFill>
        </w:rPr>
      </w:pPr>
      <w:r>
        <w:rPr>
          <w:rFonts w:hint="eastAsia"/>
          <w:color w:val="000000" w:themeColor="text1"/>
          <w:kern w:val="0"/>
          <w:sz w:val="28"/>
          <w:szCs w:val="28"/>
          <w14:textFill>
            <w14:solidFill>
              <w14:schemeClr w14:val="tx1"/>
            </w14:solidFill>
          </w14:textFill>
        </w:rPr>
        <w:t>第七部分 履约验收</w:t>
      </w:r>
      <w:bookmarkEnd w:id="33"/>
    </w:p>
    <w:p w14:paraId="018E8A40">
      <w:pPr>
        <w:pStyle w:val="28"/>
        <w:rPr>
          <w:color w:val="000000" w:themeColor="text1"/>
          <w14:textFill>
            <w14:solidFill>
              <w14:schemeClr w14:val="tx1"/>
            </w14:solidFill>
          </w14:textFill>
        </w:rPr>
      </w:pPr>
    </w:p>
    <w:p w14:paraId="611F2D52">
      <w:pPr>
        <w:pStyle w:val="27"/>
        <w:spacing w:after="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供应商履约完成后，向采购人提出验收建议，采购人自收到验收建议之日起五个工作日内，采购人组织供应商参与，共同完成验收</w:t>
      </w:r>
      <w:r>
        <w:rPr>
          <w:rFonts w:hint="eastAsia" w:ascii="宋体" w:hAnsi="宋体" w:cs="宋体"/>
          <w:color w:val="000000" w:themeColor="text1"/>
          <w:sz w:val="24"/>
          <w14:textFill>
            <w14:solidFill>
              <w14:schemeClr w14:val="tx1"/>
            </w14:solidFill>
          </w14:textFill>
        </w:rPr>
        <w:t>（通过县级验收后，由第三方质量检测机构验收）。</w:t>
      </w:r>
      <w:r>
        <w:rPr>
          <w:rFonts w:hint="eastAsia"/>
          <w:color w:val="000000" w:themeColor="text1"/>
          <w:sz w:val="24"/>
          <w14:textFill>
            <w14:solidFill>
              <w14:schemeClr w14:val="tx1"/>
            </w14:solidFill>
          </w14:textFill>
        </w:rPr>
        <w:t>技术复杂、专业性强等项目可适当延长验收时间。验收流程如下：</w:t>
      </w:r>
    </w:p>
    <w:p w14:paraId="2FE2C2DA">
      <w:pPr>
        <w:pStyle w:val="27"/>
        <w:numPr>
          <w:ilvl w:val="0"/>
          <w:numId w:val="9"/>
        </w:numPr>
        <w:spacing w:after="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0B3A0E4A">
      <w:pPr>
        <w:pStyle w:val="27"/>
        <w:numPr>
          <w:ilvl w:val="0"/>
          <w:numId w:val="9"/>
        </w:numPr>
        <w:spacing w:after="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34A92027">
      <w:pPr>
        <w:pStyle w:val="27"/>
        <w:numPr>
          <w:ilvl w:val="0"/>
          <w:numId w:val="9"/>
        </w:numPr>
        <w:spacing w:after="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38E3467E">
      <w:pPr>
        <w:pStyle w:val="27"/>
        <w:numPr>
          <w:ilvl w:val="0"/>
          <w:numId w:val="9"/>
        </w:numPr>
        <w:spacing w:after="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委会情形，采购人应及时报财政部门。</w:t>
      </w:r>
    </w:p>
    <w:p w14:paraId="4A06079C">
      <w:pPr>
        <w:pStyle w:val="3"/>
        <w:spacing w:before="0" w:after="0" w:line="360" w:lineRule="auto"/>
        <w:ind w:firstLine="482" w:firstLineChars="200"/>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br w:type="page"/>
      </w:r>
    </w:p>
    <w:p w14:paraId="5072A516">
      <w:pPr>
        <w:pStyle w:val="3"/>
        <w:spacing w:before="0" w:after="0" w:line="360" w:lineRule="auto"/>
        <w:jc w:val="center"/>
        <w:rPr>
          <w:color w:val="000000" w:themeColor="text1"/>
          <w:kern w:val="0"/>
          <w:sz w:val="28"/>
          <w:szCs w:val="28"/>
          <w14:textFill>
            <w14:solidFill>
              <w14:schemeClr w14:val="tx1"/>
            </w14:solidFill>
          </w14:textFill>
        </w:rPr>
      </w:pPr>
      <w:bookmarkStart w:id="34" w:name="_Toc30461"/>
      <w:r>
        <w:rPr>
          <w:rFonts w:hint="eastAsia"/>
          <w:color w:val="000000" w:themeColor="text1"/>
          <w:kern w:val="0"/>
          <w:sz w:val="28"/>
          <w:szCs w:val="28"/>
          <w14:textFill>
            <w14:solidFill>
              <w14:schemeClr w14:val="tx1"/>
            </w14:solidFill>
          </w14:textFill>
        </w:rPr>
        <w:t>第八部分  附件—供应商响应文件格式</w:t>
      </w:r>
      <w:bookmarkEnd w:id="34"/>
    </w:p>
    <w:p w14:paraId="04CC9953">
      <w:pPr>
        <w:widowControl/>
        <w:snapToGrid w:val="0"/>
        <w:spacing w:line="360" w:lineRule="auto"/>
        <w:jc w:val="right"/>
        <w:rPr>
          <w:color w:val="000000" w:themeColor="text1"/>
          <w:kern w:val="0"/>
          <w:sz w:val="24"/>
          <w14:textFill>
            <w14:solidFill>
              <w14:schemeClr w14:val="tx1"/>
            </w14:solidFill>
          </w14:textFill>
        </w:rPr>
      </w:pPr>
      <w:r>
        <w:rPr>
          <w:rFonts w:ascii="华文中宋" w:hAnsi="华文中宋"/>
          <w:b/>
          <w:bCs/>
          <w:color w:val="000000" w:themeColor="text1"/>
          <w:kern w:val="0"/>
          <w:sz w:val="32"/>
          <w:szCs w:val="32"/>
          <w14:textFill>
            <w14:solidFill>
              <w14:schemeClr w14:val="tx1"/>
            </w14:solidFill>
          </w14:textFill>
        </w:rPr>
        <w:t>（正/副）本</w:t>
      </w:r>
    </w:p>
    <w:p w14:paraId="513A1B0E">
      <w:pPr>
        <w:adjustRightInd w:val="0"/>
        <w:snapToGrid w:val="0"/>
        <w:spacing w:line="360" w:lineRule="auto"/>
        <w:jc w:val="center"/>
        <w:rPr>
          <w:rFonts w:ascii="宋体" w:hAnsi="宋体"/>
          <w:color w:val="000000" w:themeColor="text1"/>
          <w:sz w:val="32"/>
          <w:szCs w:val="32"/>
          <w:u w:val="single"/>
          <w14:textFill>
            <w14:solidFill>
              <w14:schemeClr w14:val="tx1"/>
            </w14:solidFill>
          </w14:textFill>
        </w:rPr>
      </w:pPr>
    </w:p>
    <w:p w14:paraId="7DE5B77B">
      <w:pPr>
        <w:adjustRightInd w:val="0"/>
        <w:snapToGrid w:val="0"/>
        <w:spacing w:line="360" w:lineRule="auto"/>
        <w:jc w:val="center"/>
        <w:rPr>
          <w:rFonts w:ascii="宋体" w:hAnsi="宋体"/>
          <w:b/>
          <w:bCs/>
          <w:color w:val="000000" w:themeColor="text1"/>
          <w:sz w:val="32"/>
          <w:szCs w:val="32"/>
          <w14:textFill>
            <w14:solidFill>
              <w14:schemeClr w14:val="tx1"/>
            </w14:solidFill>
          </w14:textFill>
        </w:rPr>
      </w:pPr>
      <w:r>
        <w:rPr>
          <w:rFonts w:hint="eastAsia" w:ascii="宋体" w:hAnsi="宋体"/>
          <w:color w:val="000000" w:themeColor="text1"/>
          <w:sz w:val="32"/>
          <w:szCs w:val="32"/>
          <w:u w:val="single"/>
          <w14:textFill>
            <w14:solidFill>
              <w14:schemeClr w14:val="tx1"/>
            </w14:solidFill>
          </w14:textFill>
        </w:rPr>
        <w:t xml:space="preserve">（项目名称 </w:t>
      </w:r>
      <w:r>
        <w:rPr>
          <w:rFonts w:ascii="宋体" w:hAnsi="宋体"/>
          <w:color w:val="000000" w:themeColor="text1"/>
          <w:sz w:val="32"/>
          <w:szCs w:val="32"/>
          <w:u w:val="single"/>
          <w14:textFill>
            <w14:solidFill>
              <w14:schemeClr w14:val="tx1"/>
            </w14:solidFill>
          </w14:textFill>
        </w:rPr>
        <w:t>）</w:t>
      </w:r>
      <w:r>
        <w:rPr>
          <w:rFonts w:hint="eastAsia" w:ascii="宋体" w:hAnsi="宋体"/>
          <w:color w:val="000000" w:themeColor="text1"/>
          <w:sz w:val="32"/>
          <w:szCs w:val="32"/>
          <w:u w:val="single"/>
          <w14:textFill>
            <w14:solidFill>
              <w14:schemeClr w14:val="tx1"/>
            </w14:solidFill>
          </w14:textFill>
        </w:rPr>
        <w:t xml:space="preserve">           </w:t>
      </w:r>
      <w:r>
        <w:rPr>
          <w:rFonts w:hint="eastAsia" w:ascii="宋体" w:hAnsi="宋体"/>
          <w:color w:val="000000" w:themeColor="text1"/>
          <w:sz w:val="32"/>
          <w:szCs w:val="32"/>
          <w14:textFill>
            <w14:solidFill>
              <w14:schemeClr w14:val="tx1"/>
            </w14:solidFill>
          </w14:textFill>
        </w:rPr>
        <w:t>项目</w:t>
      </w:r>
    </w:p>
    <w:p w14:paraId="7A4DD42D">
      <w:pPr>
        <w:spacing w:line="360" w:lineRule="auto"/>
        <w:jc w:val="center"/>
        <w:rPr>
          <w:rFonts w:ascii="宋体" w:hAnsi="宋体"/>
          <w:b/>
          <w:color w:val="000000" w:themeColor="text1"/>
          <w:sz w:val="96"/>
          <w:szCs w:val="90"/>
          <w14:textFill>
            <w14:solidFill>
              <w14:schemeClr w14:val="tx1"/>
            </w14:solidFill>
          </w14:textFill>
        </w:rPr>
      </w:pPr>
    </w:p>
    <w:p w14:paraId="68989E32">
      <w:pPr>
        <w:spacing w:line="360" w:lineRule="auto"/>
        <w:jc w:val="center"/>
        <w:rPr>
          <w:rFonts w:ascii="宋体" w:hAnsi="宋体"/>
          <w:b/>
          <w:color w:val="000000" w:themeColor="text1"/>
          <w:sz w:val="96"/>
          <w:szCs w:val="90"/>
          <w14:textFill>
            <w14:solidFill>
              <w14:schemeClr w14:val="tx1"/>
            </w14:solidFill>
          </w14:textFill>
        </w:rPr>
      </w:pPr>
      <w:r>
        <w:rPr>
          <w:rFonts w:hint="eastAsia" w:ascii="宋体" w:hAnsi="宋体"/>
          <w:b/>
          <w:color w:val="000000" w:themeColor="text1"/>
          <w:sz w:val="96"/>
          <w:szCs w:val="90"/>
          <w14:textFill>
            <w14:solidFill>
              <w14:schemeClr w14:val="tx1"/>
            </w14:solidFill>
          </w14:textFill>
        </w:rPr>
        <w:t>响应文件</w:t>
      </w:r>
    </w:p>
    <w:p w14:paraId="6B0F2FDC">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（封面格式）</w:t>
      </w:r>
    </w:p>
    <w:p w14:paraId="19734547">
      <w:pPr>
        <w:spacing w:line="360" w:lineRule="auto"/>
        <w:rPr>
          <w:rFonts w:ascii="宋体" w:hAnsi="宋体"/>
          <w:color w:val="000000" w:themeColor="text1"/>
          <w:sz w:val="30"/>
          <w:szCs w:val="30"/>
          <w14:textFill>
            <w14:solidFill>
              <w14:schemeClr w14:val="tx1"/>
            </w14:solidFill>
          </w14:textFill>
        </w:rPr>
      </w:pPr>
    </w:p>
    <w:p w14:paraId="249A4143">
      <w:pPr>
        <w:spacing w:line="360" w:lineRule="auto"/>
        <w:rPr>
          <w:rFonts w:ascii="宋体" w:hAnsi="宋体"/>
          <w:color w:val="000000" w:themeColor="text1"/>
          <w:sz w:val="30"/>
          <w:szCs w:val="30"/>
          <w14:textFill>
            <w14:solidFill>
              <w14:schemeClr w14:val="tx1"/>
            </w14:solidFill>
          </w14:textFill>
        </w:rPr>
      </w:pPr>
    </w:p>
    <w:p w14:paraId="74D0E030">
      <w:pPr>
        <w:spacing w:line="360" w:lineRule="auto"/>
        <w:rPr>
          <w:rFonts w:ascii="宋体" w:hAnsi="宋体"/>
          <w:color w:val="000000" w:themeColor="text1"/>
          <w:sz w:val="30"/>
          <w:szCs w:val="30"/>
          <w14:textFill>
            <w14:solidFill>
              <w14:schemeClr w14:val="tx1"/>
            </w14:solidFill>
          </w14:textFill>
        </w:rPr>
      </w:pPr>
    </w:p>
    <w:p w14:paraId="2348FD4A">
      <w:pPr>
        <w:spacing w:line="360" w:lineRule="auto"/>
        <w:rPr>
          <w:rFonts w:ascii="宋体" w:hAnsi="宋体"/>
          <w:color w:val="000000" w:themeColor="text1"/>
          <w:sz w:val="30"/>
          <w:szCs w:val="30"/>
          <w14:textFill>
            <w14:solidFill>
              <w14:schemeClr w14:val="tx1"/>
            </w14:solidFill>
          </w14:textFill>
        </w:rPr>
      </w:pPr>
    </w:p>
    <w:p w14:paraId="53EFADD5">
      <w:pPr>
        <w:spacing w:line="360" w:lineRule="auto"/>
        <w:rPr>
          <w:rFonts w:ascii="宋体" w:hAnsi="宋体"/>
          <w:color w:val="000000" w:themeColor="text1"/>
          <w:sz w:val="30"/>
          <w:szCs w:val="30"/>
          <w14:textFill>
            <w14:solidFill>
              <w14:schemeClr w14:val="tx1"/>
            </w14:solidFill>
          </w14:textFill>
        </w:rPr>
      </w:pPr>
    </w:p>
    <w:p w14:paraId="57763B26">
      <w:pPr>
        <w:spacing w:line="360" w:lineRule="auto"/>
        <w:rPr>
          <w:rFonts w:ascii="宋体" w:hAnsi="宋体"/>
          <w:color w:val="000000" w:themeColor="text1"/>
          <w:sz w:val="30"/>
          <w:szCs w:val="30"/>
          <w14:textFill>
            <w14:solidFill>
              <w14:schemeClr w14:val="tx1"/>
            </w14:solidFill>
          </w14:textFill>
        </w:rPr>
      </w:pPr>
    </w:p>
    <w:p w14:paraId="63AAB7FA">
      <w:pPr>
        <w:spacing w:line="360" w:lineRule="auto"/>
        <w:ind w:firstLine="1059" w:firstLineChars="353"/>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供 应 商：</w:t>
      </w:r>
      <w:r>
        <w:rPr>
          <w:rFonts w:hint="eastAsia" w:ascii="宋体" w:hAnsi="宋体"/>
          <w:color w:val="000000" w:themeColor="text1"/>
          <w:sz w:val="30"/>
          <w:szCs w:val="30"/>
          <w:u w:val="single"/>
          <w14:textFill>
            <w14:solidFill>
              <w14:schemeClr w14:val="tx1"/>
            </w14:solidFill>
          </w14:textFill>
        </w:rPr>
        <w:t xml:space="preserve">                                  </w:t>
      </w:r>
    </w:p>
    <w:p w14:paraId="4991F38B">
      <w:pPr>
        <w:spacing w:line="360" w:lineRule="auto"/>
        <w:ind w:firstLine="1059" w:firstLineChars="353"/>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法定代表人（授权委托人）：</w:t>
      </w:r>
      <w:r>
        <w:rPr>
          <w:rFonts w:hint="eastAsia" w:ascii="宋体" w:hAnsi="宋体"/>
          <w:color w:val="000000" w:themeColor="text1"/>
          <w:sz w:val="30"/>
          <w:szCs w:val="30"/>
          <w:u w:val="single"/>
          <w14:textFill>
            <w14:solidFill>
              <w14:schemeClr w14:val="tx1"/>
            </w14:solidFill>
          </w14:textFill>
        </w:rPr>
        <w:t xml:space="preserve">    （签字或盖章）</w:t>
      </w:r>
      <w:r>
        <w:rPr>
          <w:rFonts w:hint="eastAsia" w:ascii="宋体" w:hAnsi="宋体"/>
          <w:color w:val="000000" w:themeColor="text1"/>
          <w:sz w:val="30"/>
          <w:szCs w:val="30"/>
          <w14:textFill>
            <w14:solidFill>
              <w14:schemeClr w14:val="tx1"/>
            </w14:solidFill>
          </w14:textFill>
        </w:rPr>
        <w:t xml:space="preserve"> </w:t>
      </w:r>
    </w:p>
    <w:p w14:paraId="3D31FD16">
      <w:pPr>
        <w:spacing w:line="360" w:lineRule="auto"/>
        <w:ind w:firstLine="1059" w:firstLineChars="353"/>
        <w:rPr>
          <w:rFonts w:ascii="宋体" w:hAnsi="宋体"/>
          <w:color w:val="000000" w:themeColor="text1"/>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日      期：      年   月   日</w:t>
      </w:r>
    </w:p>
    <w:p w14:paraId="62BAC309">
      <w:pPr>
        <w:widowControl/>
        <w:spacing w:line="360" w:lineRule="auto"/>
        <w:jc w:val="left"/>
        <w:rPr>
          <w:rFonts w:ascii="宋体" w:hAnsi="宋体"/>
          <w:b/>
          <w:bCs/>
          <w:color w:val="000000" w:themeColor="text1"/>
          <w:kern w:val="0"/>
          <w:sz w:val="36"/>
          <w:szCs w:val="36"/>
          <w14:textFill>
            <w14:solidFill>
              <w14:schemeClr w14:val="tx1"/>
            </w14:solidFill>
          </w14:textFill>
        </w:rPr>
      </w:pPr>
      <w:r>
        <w:rPr>
          <w:rFonts w:ascii="宋体" w:hAnsi="宋体"/>
          <w:b/>
          <w:bCs/>
          <w:color w:val="000000" w:themeColor="text1"/>
          <w:kern w:val="0"/>
          <w:sz w:val="36"/>
          <w:szCs w:val="36"/>
          <w14:textFill>
            <w14:solidFill>
              <w14:schemeClr w14:val="tx1"/>
            </w14:solidFill>
          </w14:textFill>
        </w:rPr>
        <w:br w:type="page"/>
      </w:r>
    </w:p>
    <w:p w14:paraId="0EFE2EE7">
      <w:pPr>
        <w:spacing w:line="360" w:lineRule="auto"/>
        <w:ind w:right="-92" w:rightChars="-44"/>
        <w:jc w:val="center"/>
        <w:rPr>
          <w:rFonts w:ascii="宋体" w:hAnsi="宋体"/>
          <w:color w:val="000000" w:themeColor="text1"/>
          <w:kern w:val="0"/>
          <w:sz w:val="44"/>
          <w:szCs w:val="44"/>
          <w14:textFill>
            <w14:solidFill>
              <w14:schemeClr w14:val="tx1"/>
            </w14:solidFill>
          </w14:textFill>
        </w:rPr>
      </w:pPr>
      <w:r>
        <w:rPr>
          <w:rFonts w:hint="eastAsia" w:ascii="宋体" w:hAnsi="宋体"/>
          <w:b/>
          <w:bCs/>
          <w:color w:val="000000" w:themeColor="text1"/>
          <w:kern w:val="0"/>
          <w:sz w:val="44"/>
          <w:szCs w:val="44"/>
          <w14:textFill>
            <w14:solidFill>
              <w14:schemeClr w14:val="tx1"/>
            </w14:solidFill>
          </w14:textFill>
        </w:rPr>
        <w:t>目  录</w:t>
      </w:r>
    </w:p>
    <w:p w14:paraId="78748517">
      <w:pPr>
        <w:widowControl/>
        <w:spacing w:line="360" w:lineRule="auto"/>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（格式自拟）</w:t>
      </w:r>
    </w:p>
    <w:p w14:paraId="60A9850D">
      <w:pPr>
        <w:pStyle w:val="4"/>
        <w:spacing w:before="0" w:after="0" w:line="360" w:lineRule="auto"/>
        <w:rPr>
          <w:rFonts w:ascii="宋体" w:hAnsi="宋体" w:cs="宋体"/>
          <w:color w:val="000000" w:themeColor="text1"/>
          <w:sz w:val="28"/>
          <w:szCs w:val="28"/>
          <w14:textFill>
            <w14:solidFill>
              <w14:schemeClr w14:val="tx1"/>
            </w14:solidFill>
          </w14:textFill>
        </w:rPr>
      </w:pPr>
      <w:r>
        <w:rPr>
          <w:rFonts w:ascii="宋体" w:hAnsi="宋体"/>
          <w:b w:val="0"/>
          <w:color w:val="000000" w:themeColor="text1"/>
          <w:kern w:val="0"/>
          <w:sz w:val="28"/>
          <w:szCs w:val="28"/>
          <w14:textFill>
            <w14:solidFill>
              <w14:schemeClr w14:val="tx1"/>
            </w14:solidFill>
          </w14:textFill>
        </w:rPr>
        <w:br w:type="page"/>
      </w:r>
      <w:bookmarkStart w:id="35" w:name="_Toc23083"/>
      <w:r>
        <w:rPr>
          <w:rFonts w:hint="eastAsia" w:ascii="宋体" w:hAnsi="宋体" w:cs="宋体"/>
          <w:color w:val="000000" w:themeColor="text1"/>
          <w:sz w:val="28"/>
          <w:szCs w:val="28"/>
          <w14:textFill>
            <w14:solidFill>
              <w14:schemeClr w14:val="tx1"/>
            </w14:solidFill>
          </w14:textFill>
        </w:rPr>
        <w:t>附件1：</w:t>
      </w:r>
      <w:bookmarkEnd w:id="35"/>
    </w:p>
    <w:p w14:paraId="29A84853">
      <w:pPr>
        <w:widowControl/>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投标函</w:t>
      </w:r>
    </w:p>
    <w:p w14:paraId="0B2CDB8C">
      <w:pPr>
        <w:pStyle w:val="4"/>
        <w:rPr>
          <w:color w:val="000000" w:themeColor="text1"/>
          <w14:textFill>
            <w14:solidFill>
              <w14:schemeClr w14:val="tx1"/>
            </w14:solidFill>
          </w14:textFill>
        </w:rPr>
      </w:pPr>
    </w:p>
    <w:p w14:paraId="15DA3EBD">
      <w:pPr>
        <w:widowControl/>
        <w:spacing w:line="360" w:lineRule="auto"/>
        <w:ind w:firstLine="562" w:firstLineChars="200"/>
        <w:rPr>
          <w:rFonts w:ascii="宋体" w:hAnsi="宋体"/>
          <w:b/>
          <w:bCs/>
          <w:color w:val="000000" w:themeColor="text1"/>
          <w:kern w:val="0"/>
          <w:sz w:val="28"/>
          <w:szCs w:val="28"/>
          <w:u w:val="single"/>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致：</w:t>
      </w:r>
      <w:r>
        <w:rPr>
          <w:rFonts w:hint="eastAsia" w:ascii="宋体" w:hAnsi="宋体"/>
          <w:b/>
          <w:bCs/>
          <w:color w:val="000000" w:themeColor="text1"/>
          <w:kern w:val="0"/>
          <w:sz w:val="28"/>
          <w:szCs w:val="28"/>
          <w:u w:val="single"/>
          <w14:textFill>
            <w14:solidFill>
              <w14:schemeClr w14:val="tx1"/>
            </w14:solidFill>
          </w14:textFill>
        </w:rPr>
        <w:t xml:space="preserve">      （采购人名称）     </w:t>
      </w:r>
    </w:p>
    <w:p w14:paraId="28B33CA3">
      <w:pPr>
        <w:pStyle w:val="27"/>
        <w:spacing w:after="0"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我单位</w:t>
      </w:r>
      <w:r>
        <w:rPr>
          <w:rFonts w:hint="eastAsia" w:ascii="宋体" w:hAnsi="宋体" w:cs="宋体"/>
          <w:color w:val="000000" w:themeColor="text1"/>
          <w:sz w:val="24"/>
          <w14:textFill>
            <w14:solidFill>
              <w14:schemeClr w14:val="tx1"/>
            </w14:solidFill>
          </w14:textFill>
        </w:rPr>
        <w:t xml:space="preserve">已收到的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w:t>
      </w:r>
      <w:r>
        <w:rPr>
          <w:rFonts w:hint="eastAsia" w:ascii="宋体" w:hAnsi="宋体"/>
          <w:color w:val="000000" w:themeColor="text1"/>
          <w:sz w:val="24"/>
          <w14:textFill>
            <w14:solidFill>
              <w14:schemeClr w14:val="tx1"/>
            </w14:solidFill>
          </w14:textFill>
        </w:rPr>
        <w:t>（采购编号：博政采购（202</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37</w:t>
      </w:r>
      <w:r>
        <w:rPr>
          <w:rFonts w:hint="eastAsia" w:ascii="宋体" w:hAnsi="宋体"/>
          <w:color w:val="000000" w:themeColor="text1"/>
          <w:sz w:val="24"/>
          <w14:textFill>
            <w14:solidFill>
              <w14:schemeClr w14:val="tx1"/>
            </w14:solidFill>
          </w14:textFill>
        </w:rPr>
        <w:t>号）采购文件及有关纪要</w:t>
      </w:r>
      <w:r>
        <w:rPr>
          <w:rFonts w:hint="eastAsia" w:ascii="宋体" w:hAnsi="宋体" w:cs="宋体"/>
          <w:color w:val="000000" w:themeColor="text1"/>
          <w:sz w:val="24"/>
          <w14:textFill>
            <w14:solidFill>
              <w14:schemeClr w14:val="tx1"/>
            </w14:solidFill>
          </w14:textFill>
        </w:rPr>
        <w:t>通知，现</w:t>
      </w:r>
      <w:r>
        <w:rPr>
          <w:rFonts w:hint="eastAsia" w:ascii="宋体" w:hAnsi="宋体"/>
          <w:color w:val="000000" w:themeColor="text1"/>
          <w:sz w:val="24"/>
          <w14:textFill>
            <w14:solidFill>
              <w14:schemeClr w14:val="tx1"/>
            </w14:solidFill>
          </w14:textFill>
        </w:rPr>
        <w:t>对参与投标及成交后工作，做出如下郑重承诺：</w:t>
      </w:r>
    </w:p>
    <w:p w14:paraId="3DCD8AF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1、我方愿以总价为人民币（大写）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（小写）￥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元，合同履行期限：</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，按合同约定实施和完成本项目。 </w:t>
      </w:r>
    </w:p>
    <w:p w14:paraId="199C7565">
      <w:pPr>
        <w:widowControl/>
        <w:spacing w:line="360" w:lineRule="auto"/>
        <w:ind w:firstLine="480" w:firstLineChars="200"/>
        <w:rPr>
          <w:rFonts w:ascii="宋体" w:hAnsi="宋体" w:cs="宋体"/>
          <w:strike/>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在响应性文件递交截止时间后至确定成交人的</w:t>
      </w:r>
      <w:r>
        <w:fldChar w:fldCharType="begin"/>
      </w:r>
      <w:r>
        <w:instrText xml:space="preserve"> HYPERLINK "https://baike.so.com/doc/5394983-5632135.html" \t "https://baike.so.com/doc/_blank" </w:instrText>
      </w:r>
      <w:r>
        <w:fldChar w:fldCharType="separate"/>
      </w:r>
      <w:r>
        <w:rPr>
          <w:rFonts w:ascii="宋体" w:hAnsi="宋体"/>
          <w:color w:val="000000" w:themeColor="text1"/>
          <w:sz w:val="24"/>
          <w14:textFill>
            <w14:solidFill>
              <w14:schemeClr w14:val="tx1"/>
            </w14:solidFill>
          </w14:textFill>
        </w:rPr>
        <w:t>投标有效期</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t>内</w:t>
      </w:r>
      <w:r>
        <w:rPr>
          <w:rFonts w:hint="eastAsia" w:ascii="宋体" w:hAnsi="宋体"/>
          <w:color w:val="000000" w:themeColor="text1"/>
          <w:sz w:val="24"/>
          <w14:textFill>
            <w14:solidFill>
              <w14:schemeClr w14:val="tx1"/>
            </w14:solidFill>
          </w14:textFill>
        </w:rPr>
        <w:t>，我单位不得要求退出竞标或者修改响应性文件。</w:t>
      </w:r>
    </w:p>
    <w:p w14:paraId="458C8B92">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3、我方明白采购人不一定接纳最低投标报价的采购，也不需要采购人解释选择或否决任何供应商的原因和理由。</w:t>
      </w:r>
    </w:p>
    <w:p w14:paraId="36FE785A">
      <w:pPr>
        <w:widowControl/>
        <w:spacing w:line="360" w:lineRule="auto"/>
        <w:ind w:firstLine="480" w:firstLineChars="200"/>
        <w:rPr>
          <w:rFonts w:ascii="宋体" w:hAnsi="宋体"/>
          <w:color w:val="000000" w:themeColor="text1"/>
          <w:kern w:val="0"/>
          <w:sz w:val="24"/>
          <w14:textFill>
            <w14:solidFill>
              <w14:schemeClr w14:val="tx1"/>
            </w14:solidFill>
          </w14:textFill>
        </w:rPr>
      </w:pPr>
    </w:p>
    <w:p w14:paraId="00A0D087">
      <w:pPr>
        <w:widowControl/>
        <w:spacing w:line="360" w:lineRule="auto"/>
        <w:ind w:firstLine="480" w:firstLineChars="200"/>
        <w:rPr>
          <w:rFonts w:ascii="宋体" w:hAnsi="宋体"/>
          <w:color w:val="000000" w:themeColor="text1"/>
          <w:kern w:val="0"/>
          <w:sz w:val="24"/>
          <w14:textFill>
            <w14:solidFill>
              <w14:schemeClr w14:val="tx1"/>
            </w14:solidFill>
          </w14:textFill>
        </w:rPr>
      </w:pPr>
    </w:p>
    <w:p w14:paraId="4643EA49">
      <w:pPr>
        <w:widowControl/>
        <w:spacing w:line="360" w:lineRule="auto"/>
        <w:ind w:firstLine="480" w:firstLineChars="200"/>
        <w:rPr>
          <w:rFonts w:ascii="宋体" w:hAnsi="宋体"/>
          <w:color w:val="000000" w:themeColor="text1"/>
          <w:kern w:val="0"/>
          <w:sz w:val="24"/>
          <w14:textFill>
            <w14:solidFill>
              <w14:schemeClr w14:val="tx1"/>
            </w14:solidFill>
          </w14:textFill>
        </w:rPr>
      </w:pPr>
    </w:p>
    <w:p w14:paraId="68094B7B">
      <w:pPr>
        <w:widowControl/>
        <w:spacing w:line="360" w:lineRule="auto"/>
        <w:ind w:firstLine="480" w:firstLineChars="200"/>
        <w:jc w:val="righ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供应商：（盖章）</w:t>
      </w:r>
    </w:p>
    <w:p w14:paraId="12ACB1E9">
      <w:pPr>
        <w:widowControl/>
        <w:spacing w:line="360" w:lineRule="auto"/>
        <w:ind w:firstLine="480" w:firstLineChars="200"/>
        <w:jc w:val="righ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法定代表人或授权委托代理人：（签字或盖章）</w:t>
      </w:r>
    </w:p>
    <w:p w14:paraId="4C9E4C62">
      <w:pPr>
        <w:widowControl/>
        <w:spacing w:line="360" w:lineRule="auto"/>
        <w:ind w:firstLine="480" w:firstLineChars="200"/>
        <w:jc w:val="right"/>
        <w:rPr>
          <w:rFonts w:ascii="宋体" w:hAnsi="宋体"/>
          <w:b/>
          <w:bCs/>
          <w:color w:val="000000" w:themeColor="text1"/>
          <w:kern w:val="0"/>
          <w:sz w:val="32"/>
          <w:szCs w:val="32"/>
          <w14:textFill>
            <w14:solidFill>
              <w14:schemeClr w14:val="tx1"/>
            </w14:solidFill>
          </w14:textFill>
        </w:rPr>
      </w:pPr>
      <w:r>
        <w:rPr>
          <w:rFonts w:hint="eastAsia" w:ascii="宋体" w:hAnsi="宋体"/>
          <w:color w:val="000000" w:themeColor="text1"/>
          <w:kern w:val="0"/>
          <w:sz w:val="24"/>
          <w14:textFill>
            <w14:solidFill>
              <w14:schemeClr w14:val="tx1"/>
            </w14:solidFill>
          </w14:textFill>
        </w:rPr>
        <w:t>年      月      日</w:t>
      </w:r>
    </w:p>
    <w:p w14:paraId="3BA8E58E">
      <w:pPr>
        <w:widowControl/>
        <w:spacing w:line="360" w:lineRule="auto"/>
        <w:ind w:firstLine="643" w:firstLineChars="200"/>
        <w:jc w:val="center"/>
        <w:rPr>
          <w:rFonts w:ascii="宋体" w:hAnsi="宋体"/>
          <w:b/>
          <w:bCs/>
          <w:color w:val="000000" w:themeColor="text1"/>
          <w:kern w:val="0"/>
          <w:sz w:val="32"/>
          <w:szCs w:val="32"/>
          <w14:textFill>
            <w14:solidFill>
              <w14:schemeClr w14:val="tx1"/>
            </w14:solidFill>
          </w14:textFill>
        </w:rPr>
      </w:pPr>
    </w:p>
    <w:p w14:paraId="17CBF91C">
      <w:pPr>
        <w:widowControl/>
        <w:spacing w:line="360" w:lineRule="auto"/>
        <w:ind w:firstLine="643" w:firstLineChars="200"/>
        <w:jc w:val="center"/>
        <w:rPr>
          <w:rFonts w:ascii="宋体" w:hAnsi="宋体"/>
          <w:b/>
          <w:bCs/>
          <w:color w:val="000000" w:themeColor="text1"/>
          <w:kern w:val="0"/>
          <w:sz w:val="32"/>
          <w:szCs w:val="32"/>
          <w14:textFill>
            <w14:solidFill>
              <w14:schemeClr w14:val="tx1"/>
            </w14:solidFill>
          </w14:textFill>
        </w:rPr>
      </w:pPr>
    </w:p>
    <w:p w14:paraId="2489BE5A">
      <w:pPr>
        <w:widowControl/>
        <w:spacing w:line="360" w:lineRule="auto"/>
        <w:ind w:firstLine="643" w:firstLineChars="200"/>
        <w:jc w:val="center"/>
        <w:rPr>
          <w:rFonts w:ascii="宋体" w:hAnsi="宋体"/>
          <w:b/>
          <w:bCs/>
          <w:color w:val="000000" w:themeColor="text1"/>
          <w:kern w:val="0"/>
          <w:sz w:val="32"/>
          <w:szCs w:val="32"/>
          <w14:textFill>
            <w14:solidFill>
              <w14:schemeClr w14:val="tx1"/>
            </w14:solidFill>
          </w14:textFill>
        </w:rPr>
      </w:pPr>
    </w:p>
    <w:p w14:paraId="193B2F89">
      <w:pPr>
        <w:widowControl/>
        <w:spacing w:line="360" w:lineRule="auto"/>
        <w:jc w:val="center"/>
        <w:rPr>
          <w:color w:val="000000" w:themeColor="text1"/>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第</w:t>
      </w:r>
      <w:r>
        <w:rPr>
          <w:rFonts w:hint="eastAsia" w:ascii="宋体" w:hAnsi="宋体"/>
          <w:b/>
          <w:bCs/>
          <w:color w:val="000000" w:themeColor="text1"/>
          <w:kern w:val="0"/>
          <w:sz w:val="28"/>
          <w:szCs w:val="28"/>
          <w:u w:val="single"/>
          <w14:textFill>
            <w14:solidFill>
              <w14:schemeClr w14:val="tx1"/>
            </w14:solidFill>
          </w14:textFill>
        </w:rPr>
        <w:t xml:space="preserve"> 一 </w:t>
      </w:r>
      <w:r>
        <w:rPr>
          <w:rFonts w:hint="eastAsia" w:ascii="宋体" w:hAnsi="宋体"/>
          <w:b/>
          <w:bCs/>
          <w:color w:val="000000" w:themeColor="text1"/>
          <w:kern w:val="0"/>
          <w:sz w:val="28"/>
          <w:szCs w:val="28"/>
          <w14:textFill>
            <w14:solidFill>
              <w14:schemeClr w14:val="tx1"/>
            </w14:solidFill>
          </w14:textFill>
        </w:rPr>
        <w:t>轮报价表</w:t>
      </w:r>
    </w:p>
    <w:p w14:paraId="236F5299">
      <w:pPr>
        <w:pStyle w:val="70"/>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说明：1、供应商单位应将第一轮报价填入下表并按要求签字或盖章，本表要附在响应文件中。</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471"/>
      </w:tblGrid>
      <w:tr w14:paraId="335D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5B35D5AA">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项目名称</w:t>
            </w:r>
          </w:p>
        </w:tc>
        <w:tc>
          <w:tcPr>
            <w:tcW w:w="6471" w:type="dxa"/>
            <w:vAlign w:val="center"/>
          </w:tcPr>
          <w:p w14:paraId="722D7AA5">
            <w:pPr>
              <w:spacing w:line="360" w:lineRule="auto"/>
              <w:rPr>
                <w:rFonts w:ascii="宋体" w:hAnsi="宋体"/>
                <w:color w:val="000000" w:themeColor="text1"/>
                <w:sz w:val="24"/>
                <w:shd w:val="clear" w:color="auto" w:fill="FFFFFF"/>
                <w14:textFill>
                  <w14:solidFill>
                    <w14:schemeClr w14:val="tx1"/>
                  </w14:solidFill>
                </w14:textFill>
              </w:rPr>
            </w:pPr>
          </w:p>
        </w:tc>
      </w:tr>
      <w:tr w14:paraId="1856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2ACC1D51">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供应商</w:t>
            </w:r>
          </w:p>
        </w:tc>
        <w:tc>
          <w:tcPr>
            <w:tcW w:w="6471" w:type="dxa"/>
            <w:vAlign w:val="center"/>
          </w:tcPr>
          <w:p w14:paraId="356E2A6B">
            <w:pPr>
              <w:spacing w:line="360" w:lineRule="auto"/>
              <w:rPr>
                <w:rFonts w:ascii="宋体" w:hAnsi="宋体"/>
                <w:color w:val="000000" w:themeColor="text1"/>
                <w:sz w:val="24"/>
                <w:shd w:val="clear" w:color="auto" w:fill="FFFFFF"/>
                <w14:textFill>
                  <w14:solidFill>
                    <w14:schemeClr w14:val="tx1"/>
                  </w14:solidFill>
                </w14:textFill>
              </w:rPr>
            </w:pPr>
          </w:p>
        </w:tc>
      </w:tr>
      <w:tr w14:paraId="5D42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2268" w:type="dxa"/>
            <w:vAlign w:val="center"/>
          </w:tcPr>
          <w:p w14:paraId="3CBED188">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投标报价</w:t>
            </w:r>
          </w:p>
        </w:tc>
        <w:tc>
          <w:tcPr>
            <w:tcW w:w="6471" w:type="dxa"/>
            <w:vAlign w:val="center"/>
          </w:tcPr>
          <w:p w14:paraId="0E814EE8">
            <w:pPr>
              <w:spacing w:line="360" w:lineRule="auto"/>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（大写）</w:t>
            </w:r>
            <w:r>
              <w:rPr>
                <w:rFonts w:hint="eastAsia" w:ascii="宋体" w:hAnsi="宋体"/>
                <w:color w:val="000000" w:themeColor="text1"/>
                <w:sz w:val="24"/>
                <w:u w:val="single"/>
                <w:shd w:val="clear" w:color="auto" w:fill="FFFFFF"/>
                <w14:textFill>
                  <w14:solidFill>
                    <w14:schemeClr w14:val="tx1"/>
                  </w14:solidFill>
                </w14:textFill>
              </w:rPr>
              <w:t xml:space="preserve">                                </w:t>
            </w:r>
          </w:p>
          <w:p w14:paraId="5D431221">
            <w:pPr>
              <w:spacing w:line="360" w:lineRule="auto"/>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（小写）</w:t>
            </w:r>
            <w:r>
              <w:rPr>
                <w:rFonts w:hint="eastAsia" w:ascii="宋体" w:hAnsi="宋体"/>
                <w:color w:val="000000" w:themeColor="text1"/>
                <w:sz w:val="24"/>
                <w:u w:val="single"/>
                <w:shd w:val="clear" w:color="auto" w:fill="FFFFFF"/>
                <w14:textFill>
                  <w14:solidFill>
                    <w14:schemeClr w14:val="tx1"/>
                  </w14:solidFill>
                </w14:textFill>
              </w:rPr>
              <w:t xml:space="preserve">                                </w:t>
            </w:r>
          </w:p>
        </w:tc>
      </w:tr>
      <w:tr w14:paraId="02EB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63AC1AFF">
            <w:pPr>
              <w:spacing w:line="360" w:lineRule="auto"/>
              <w:jc w:val="center"/>
              <w:rPr>
                <w:rFonts w:hint="default" w:ascii="宋体" w:hAnsi="宋体" w:eastAsia="宋体"/>
                <w:color w:val="000000" w:themeColor="text1"/>
                <w:sz w:val="24"/>
                <w:shd w:val="clear" w:color="auto" w:fill="FFFFFF"/>
                <w:lang w:val="en-US" w:eastAsia="zh-CN"/>
                <w14:textFill>
                  <w14:solidFill>
                    <w14:schemeClr w14:val="tx1"/>
                  </w14:solidFill>
                </w14:textFill>
              </w:rPr>
            </w:pPr>
            <w:r>
              <w:rPr>
                <w:rFonts w:hint="eastAsia" w:ascii="宋体" w:hAnsi="宋体"/>
                <w:color w:val="000000" w:themeColor="text1"/>
                <w:sz w:val="24"/>
                <w:shd w:val="clear" w:color="auto" w:fill="FFFFFF"/>
                <w:lang w:val="en-US" w:eastAsia="zh-CN"/>
                <w14:textFill>
                  <w14:solidFill>
                    <w14:schemeClr w14:val="tx1"/>
                  </w14:solidFill>
                </w14:textFill>
              </w:rPr>
              <w:t>采购范围</w:t>
            </w:r>
          </w:p>
        </w:tc>
        <w:tc>
          <w:tcPr>
            <w:tcW w:w="6471" w:type="dxa"/>
            <w:vAlign w:val="center"/>
          </w:tcPr>
          <w:p w14:paraId="20E8F257">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4AE1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43DD5C21">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合同履行期限</w:t>
            </w:r>
          </w:p>
        </w:tc>
        <w:tc>
          <w:tcPr>
            <w:tcW w:w="6471" w:type="dxa"/>
            <w:vAlign w:val="center"/>
          </w:tcPr>
          <w:p w14:paraId="3DEC9241">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00A8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71737A35">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质量要求</w:t>
            </w:r>
          </w:p>
        </w:tc>
        <w:tc>
          <w:tcPr>
            <w:tcW w:w="6471" w:type="dxa"/>
            <w:vAlign w:val="center"/>
          </w:tcPr>
          <w:p w14:paraId="6F8F0CEF">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4691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2580793D">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质保期</w:t>
            </w:r>
          </w:p>
        </w:tc>
        <w:tc>
          <w:tcPr>
            <w:tcW w:w="6471" w:type="dxa"/>
            <w:vAlign w:val="center"/>
          </w:tcPr>
          <w:p w14:paraId="56AD67E0">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7E30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71059A0B">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投标有效期</w:t>
            </w:r>
          </w:p>
        </w:tc>
        <w:tc>
          <w:tcPr>
            <w:tcW w:w="6471" w:type="dxa"/>
            <w:vAlign w:val="center"/>
          </w:tcPr>
          <w:p w14:paraId="493AB698">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0382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739" w:type="dxa"/>
            <w:gridSpan w:val="2"/>
            <w:vAlign w:val="center"/>
          </w:tcPr>
          <w:p w14:paraId="57524B78">
            <w:pPr>
              <w:spacing w:line="360" w:lineRule="auto"/>
              <w:ind w:firstLine="482" w:firstLineChars="200"/>
              <w:jc w:val="left"/>
              <w:rPr>
                <w:rFonts w:ascii="宋体" w:hAnsi="宋体"/>
                <w:b/>
                <w:color w:val="000000" w:themeColor="text1"/>
                <w:sz w:val="24"/>
                <w:shd w:val="clear" w:color="auto" w:fill="FFFFFF"/>
                <w14:textFill>
                  <w14:solidFill>
                    <w14:schemeClr w14:val="tx1"/>
                  </w14:solidFill>
                </w14:textFill>
              </w:rPr>
            </w:pPr>
            <w:r>
              <w:rPr>
                <w:rFonts w:hint="eastAsia" w:ascii="宋体" w:hAnsi="宋体"/>
                <w:b/>
                <w:color w:val="000000" w:themeColor="text1"/>
                <w:sz w:val="24"/>
                <w:shd w:val="clear" w:color="auto" w:fill="FFFFFF"/>
                <w14:textFill>
                  <w14:solidFill>
                    <w14:schemeClr w14:val="tx1"/>
                  </w14:solidFill>
                </w14:textFill>
              </w:rPr>
              <w:t>优惠及服务承诺：</w:t>
            </w:r>
          </w:p>
          <w:p w14:paraId="3E6AD035">
            <w:pPr>
              <w:spacing w:line="360" w:lineRule="auto"/>
              <w:ind w:firstLine="482" w:firstLineChars="200"/>
              <w:jc w:val="left"/>
              <w:rPr>
                <w:rFonts w:ascii="宋体" w:hAnsi="宋体"/>
                <w:b/>
                <w:color w:val="000000" w:themeColor="text1"/>
                <w:sz w:val="24"/>
                <w:shd w:val="clear" w:color="auto" w:fill="FFFFFF"/>
                <w14:textFill>
                  <w14:solidFill>
                    <w14:schemeClr w14:val="tx1"/>
                  </w14:solidFill>
                </w14:textFill>
              </w:rPr>
            </w:pPr>
            <w:r>
              <w:rPr>
                <w:rFonts w:hint="eastAsia" w:ascii="宋体" w:hAnsi="宋体"/>
                <w:b/>
                <w:color w:val="000000" w:themeColor="text1"/>
                <w:sz w:val="24"/>
                <w:shd w:val="clear" w:color="auto" w:fill="FFFFFF"/>
                <w14:textFill>
                  <w14:solidFill>
                    <w14:schemeClr w14:val="tx1"/>
                  </w14:solidFill>
                </w14:textFill>
              </w:rPr>
              <w:t>（可另附页）</w:t>
            </w:r>
          </w:p>
        </w:tc>
      </w:tr>
    </w:tbl>
    <w:p w14:paraId="55087C46">
      <w:pPr>
        <w:spacing w:line="360" w:lineRule="auto"/>
        <w:ind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供应商（盖章）：                               </w:t>
      </w:r>
    </w:p>
    <w:p w14:paraId="2E39E99C">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法人代表或授权代表（签字或盖章）：                                                </w:t>
      </w:r>
    </w:p>
    <w:p w14:paraId="633A8FA7">
      <w:pPr>
        <w:spacing w:line="360" w:lineRule="auto"/>
        <w:ind w:firstLine="480" w:firstLine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   </w:t>
      </w:r>
    </w:p>
    <w:p w14:paraId="3210778D">
      <w:pPr>
        <w:widowControl/>
        <w:spacing w:line="360" w:lineRule="auto"/>
        <w:jc w:val="center"/>
        <w:rPr>
          <w:rFonts w:ascii="宋体" w:hAnsi="宋体"/>
          <w:b/>
          <w:bCs/>
          <w:color w:val="000000" w:themeColor="text1"/>
          <w:kern w:val="0"/>
          <w:sz w:val="28"/>
          <w:szCs w:val="28"/>
          <w14:textFill>
            <w14:solidFill>
              <w14:schemeClr w14:val="tx1"/>
            </w14:solidFill>
          </w14:textFill>
        </w:rPr>
      </w:pPr>
      <w:bookmarkStart w:id="36" w:name="_Toc23799"/>
      <w:bookmarkStart w:id="37" w:name="_Toc12799"/>
      <w:r>
        <w:rPr>
          <w:rFonts w:hint="eastAsia" w:ascii="宋体" w:hAnsi="宋体"/>
          <w:b/>
          <w:bCs/>
          <w:color w:val="000000" w:themeColor="text1"/>
          <w:kern w:val="0"/>
          <w:sz w:val="28"/>
          <w:szCs w:val="28"/>
          <w14:textFill>
            <w14:solidFill>
              <w14:schemeClr w14:val="tx1"/>
            </w14:solidFill>
          </w14:textFill>
        </w:rPr>
        <w:t>投标报价明细表</w:t>
      </w:r>
      <w:bookmarkEnd w:id="36"/>
      <w:bookmarkEnd w:id="37"/>
    </w:p>
    <w:tbl>
      <w:tblPr>
        <w:tblStyle w:val="29"/>
        <w:tblW w:w="9536"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860"/>
        <w:gridCol w:w="865"/>
        <w:gridCol w:w="862"/>
        <w:gridCol w:w="839"/>
        <w:gridCol w:w="985"/>
        <w:gridCol w:w="1120"/>
        <w:gridCol w:w="892"/>
        <w:gridCol w:w="1471"/>
      </w:tblGrid>
      <w:tr w14:paraId="27CB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42" w:type="dxa"/>
            <w:vMerge w:val="restart"/>
            <w:tcBorders>
              <w:top w:val="single" w:color="auto" w:sz="4" w:space="0"/>
              <w:left w:val="single" w:color="auto" w:sz="4" w:space="0"/>
              <w:right w:val="single" w:color="auto" w:sz="4" w:space="0"/>
            </w:tcBorders>
            <w:vAlign w:val="center"/>
          </w:tcPr>
          <w:p w14:paraId="4177CFBB">
            <w:pPr>
              <w:pStyle w:val="24"/>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名称</w:t>
            </w: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4129810D">
            <w:pPr>
              <w:pStyle w:val="24"/>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所投设备</w:t>
            </w:r>
          </w:p>
        </w:tc>
        <w:tc>
          <w:tcPr>
            <w:tcW w:w="839" w:type="dxa"/>
            <w:vMerge w:val="restart"/>
            <w:tcBorders>
              <w:top w:val="single" w:color="auto" w:sz="4" w:space="0"/>
              <w:left w:val="single" w:color="auto" w:sz="4" w:space="0"/>
              <w:right w:val="single" w:color="auto" w:sz="4" w:space="0"/>
            </w:tcBorders>
            <w:vAlign w:val="center"/>
          </w:tcPr>
          <w:p w14:paraId="41F214D2">
            <w:pPr>
              <w:pStyle w:val="24"/>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单位</w:t>
            </w:r>
          </w:p>
        </w:tc>
        <w:tc>
          <w:tcPr>
            <w:tcW w:w="985" w:type="dxa"/>
            <w:vMerge w:val="restart"/>
            <w:tcBorders>
              <w:top w:val="single" w:color="auto" w:sz="4" w:space="0"/>
              <w:left w:val="single" w:color="auto" w:sz="4" w:space="0"/>
              <w:right w:val="single" w:color="auto" w:sz="4" w:space="0"/>
            </w:tcBorders>
            <w:vAlign w:val="center"/>
          </w:tcPr>
          <w:p w14:paraId="241FE4B1">
            <w:pPr>
              <w:pStyle w:val="24"/>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数量</w:t>
            </w:r>
          </w:p>
        </w:tc>
        <w:tc>
          <w:tcPr>
            <w:tcW w:w="1120" w:type="dxa"/>
            <w:vMerge w:val="restart"/>
            <w:tcBorders>
              <w:top w:val="single" w:color="auto" w:sz="4" w:space="0"/>
              <w:left w:val="single" w:color="auto" w:sz="4" w:space="0"/>
              <w:right w:val="single" w:color="auto" w:sz="4" w:space="0"/>
            </w:tcBorders>
            <w:vAlign w:val="center"/>
          </w:tcPr>
          <w:p w14:paraId="47B6F048">
            <w:pPr>
              <w:pStyle w:val="24"/>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单价（元）</w:t>
            </w:r>
          </w:p>
        </w:tc>
        <w:tc>
          <w:tcPr>
            <w:tcW w:w="892" w:type="dxa"/>
            <w:vMerge w:val="restart"/>
            <w:tcBorders>
              <w:top w:val="single" w:color="auto" w:sz="4" w:space="0"/>
              <w:left w:val="single" w:color="auto" w:sz="4" w:space="0"/>
              <w:right w:val="single" w:color="auto" w:sz="4" w:space="0"/>
            </w:tcBorders>
            <w:vAlign w:val="center"/>
          </w:tcPr>
          <w:p w14:paraId="4754A825">
            <w:pPr>
              <w:pStyle w:val="24"/>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合价（元）</w:t>
            </w:r>
          </w:p>
        </w:tc>
        <w:tc>
          <w:tcPr>
            <w:tcW w:w="1471" w:type="dxa"/>
            <w:vMerge w:val="restart"/>
            <w:tcBorders>
              <w:top w:val="single" w:color="auto" w:sz="4" w:space="0"/>
              <w:left w:val="single" w:color="auto" w:sz="4" w:space="0"/>
              <w:right w:val="single" w:color="auto" w:sz="4" w:space="0"/>
            </w:tcBorders>
            <w:vAlign w:val="center"/>
          </w:tcPr>
          <w:p w14:paraId="2F490DB1">
            <w:pPr>
              <w:pStyle w:val="24"/>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执行标准</w:t>
            </w:r>
          </w:p>
        </w:tc>
      </w:tr>
      <w:tr w14:paraId="43A0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1642" w:type="dxa"/>
            <w:vMerge w:val="continue"/>
            <w:tcBorders>
              <w:left w:val="single" w:color="auto" w:sz="4" w:space="0"/>
              <w:bottom w:val="single" w:color="auto" w:sz="4" w:space="0"/>
              <w:right w:val="single" w:color="auto" w:sz="4" w:space="0"/>
            </w:tcBorders>
            <w:vAlign w:val="center"/>
          </w:tcPr>
          <w:p w14:paraId="6F77D2F6">
            <w:pPr>
              <w:pStyle w:val="24"/>
              <w:widowControl w:val="0"/>
              <w:adjustRightInd w:val="0"/>
              <w:spacing w:before="0" w:beforeAutospacing="0" w:after="0" w:afterAutospacing="0" w:line="460" w:lineRule="exact"/>
              <w:jc w:val="center"/>
              <w:rPr>
                <w:bCs/>
                <w:color w:val="000000" w:themeColor="text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06688C5D">
            <w:pPr>
              <w:pStyle w:val="24"/>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品牌</w:t>
            </w:r>
          </w:p>
        </w:tc>
        <w:tc>
          <w:tcPr>
            <w:tcW w:w="865" w:type="dxa"/>
            <w:tcBorders>
              <w:top w:val="single" w:color="auto" w:sz="4" w:space="0"/>
              <w:left w:val="single" w:color="auto" w:sz="4" w:space="0"/>
              <w:bottom w:val="single" w:color="auto" w:sz="4" w:space="0"/>
              <w:right w:val="single" w:color="auto" w:sz="4" w:space="0"/>
            </w:tcBorders>
            <w:vAlign w:val="center"/>
          </w:tcPr>
          <w:p w14:paraId="687418D7">
            <w:pPr>
              <w:pStyle w:val="24"/>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型号</w:t>
            </w:r>
          </w:p>
        </w:tc>
        <w:tc>
          <w:tcPr>
            <w:tcW w:w="862" w:type="dxa"/>
            <w:tcBorders>
              <w:top w:val="single" w:color="auto" w:sz="4" w:space="0"/>
              <w:left w:val="single" w:color="auto" w:sz="4" w:space="0"/>
              <w:bottom w:val="single" w:color="auto" w:sz="4" w:space="0"/>
              <w:right w:val="single" w:color="auto" w:sz="4" w:space="0"/>
            </w:tcBorders>
            <w:vAlign w:val="center"/>
          </w:tcPr>
          <w:p w14:paraId="21E6EE7E">
            <w:pPr>
              <w:pStyle w:val="24"/>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技术参数</w:t>
            </w:r>
          </w:p>
        </w:tc>
        <w:tc>
          <w:tcPr>
            <w:tcW w:w="839" w:type="dxa"/>
            <w:vMerge w:val="continue"/>
            <w:tcBorders>
              <w:left w:val="single" w:color="auto" w:sz="4" w:space="0"/>
              <w:bottom w:val="single" w:color="auto" w:sz="4" w:space="0"/>
              <w:right w:val="single" w:color="auto" w:sz="4" w:space="0"/>
            </w:tcBorders>
            <w:vAlign w:val="center"/>
          </w:tcPr>
          <w:p w14:paraId="1F78260F">
            <w:pPr>
              <w:pStyle w:val="24"/>
              <w:widowControl w:val="0"/>
              <w:adjustRightInd w:val="0"/>
              <w:spacing w:before="0" w:beforeAutospacing="0" w:after="0" w:afterAutospacing="0" w:line="460" w:lineRule="exact"/>
              <w:jc w:val="center"/>
              <w:rPr>
                <w:bCs/>
                <w:color w:val="000000" w:themeColor="text1"/>
                <w14:textFill>
                  <w14:solidFill>
                    <w14:schemeClr w14:val="tx1"/>
                  </w14:solidFill>
                </w14:textFill>
              </w:rPr>
            </w:pPr>
          </w:p>
        </w:tc>
        <w:tc>
          <w:tcPr>
            <w:tcW w:w="985" w:type="dxa"/>
            <w:vMerge w:val="continue"/>
            <w:tcBorders>
              <w:left w:val="single" w:color="auto" w:sz="4" w:space="0"/>
              <w:bottom w:val="single" w:color="auto" w:sz="4" w:space="0"/>
              <w:right w:val="single" w:color="auto" w:sz="4" w:space="0"/>
            </w:tcBorders>
            <w:vAlign w:val="center"/>
          </w:tcPr>
          <w:p w14:paraId="5824D2EA">
            <w:pPr>
              <w:pStyle w:val="24"/>
              <w:widowControl w:val="0"/>
              <w:adjustRightInd w:val="0"/>
              <w:spacing w:before="0" w:beforeAutospacing="0" w:after="0" w:afterAutospacing="0" w:line="460" w:lineRule="exact"/>
              <w:jc w:val="center"/>
              <w:rPr>
                <w:bCs/>
                <w:color w:val="000000" w:themeColor="text1"/>
                <w14:textFill>
                  <w14:solidFill>
                    <w14:schemeClr w14:val="tx1"/>
                  </w14:solidFill>
                </w14:textFill>
              </w:rPr>
            </w:pPr>
          </w:p>
        </w:tc>
        <w:tc>
          <w:tcPr>
            <w:tcW w:w="1120" w:type="dxa"/>
            <w:vMerge w:val="continue"/>
            <w:tcBorders>
              <w:left w:val="single" w:color="auto" w:sz="4" w:space="0"/>
              <w:bottom w:val="single" w:color="auto" w:sz="4" w:space="0"/>
              <w:right w:val="single" w:color="auto" w:sz="4" w:space="0"/>
            </w:tcBorders>
            <w:vAlign w:val="center"/>
          </w:tcPr>
          <w:p w14:paraId="5BC808DC">
            <w:pPr>
              <w:pStyle w:val="24"/>
              <w:widowControl w:val="0"/>
              <w:adjustRightInd w:val="0"/>
              <w:spacing w:before="0" w:beforeAutospacing="0" w:after="0" w:afterAutospacing="0" w:line="460" w:lineRule="exact"/>
              <w:ind w:firstLine="235" w:firstLineChars="98"/>
              <w:jc w:val="center"/>
              <w:rPr>
                <w:bCs/>
                <w:color w:val="000000" w:themeColor="text1"/>
                <w14:textFill>
                  <w14:solidFill>
                    <w14:schemeClr w14:val="tx1"/>
                  </w14:solidFill>
                </w14:textFill>
              </w:rPr>
            </w:pPr>
          </w:p>
        </w:tc>
        <w:tc>
          <w:tcPr>
            <w:tcW w:w="892" w:type="dxa"/>
            <w:vMerge w:val="continue"/>
            <w:tcBorders>
              <w:left w:val="single" w:color="auto" w:sz="4" w:space="0"/>
              <w:bottom w:val="single" w:color="auto" w:sz="4" w:space="0"/>
              <w:right w:val="single" w:color="auto" w:sz="4" w:space="0"/>
            </w:tcBorders>
            <w:vAlign w:val="center"/>
          </w:tcPr>
          <w:p w14:paraId="1D08657A">
            <w:pPr>
              <w:pStyle w:val="24"/>
              <w:widowControl w:val="0"/>
              <w:adjustRightInd w:val="0"/>
              <w:spacing w:before="0" w:beforeAutospacing="0" w:after="0" w:afterAutospacing="0" w:line="460" w:lineRule="exact"/>
              <w:jc w:val="center"/>
              <w:rPr>
                <w:bCs/>
                <w:color w:val="000000" w:themeColor="text1"/>
                <w14:textFill>
                  <w14:solidFill>
                    <w14:schemeClr w14:val="tx1"/>
                  </w14:solidFill>
                </w14:textFill>
              </w:rPr>
            </w:pPr>
          </w:p>
        </w:tc>
        <w:tc>
          <w:tcPr>
            <w:tcW w:w="1471" w:type="dxa"/>
            <w:vMerge w:val="continue"/>
            <w:tcBorders>
              <w:left w:val="single" w:color="auto" w:sz="4" w:space="0"/>
              <w:bottom w:val="single" w:color="auto" w:sz="4" w:space="0"/>
              <w:right w:val="single" w:color="auto" w:sz="4" w:space="0"/>
            </w:tcBorders>
          </w:tcPr>
          <w:p w14:paraId="5A57698D">
            <w:pPr>
              <w:pStyle w:val="24"/>
              <w:widowControl w:val="0"/>
              <w:adjustRightInd w:val="0"/>
              <w:spacing w:before="0" w:beforeAutospacing="0" w:after="0" w:afterAutospacing="0" w:line="460" w:lineRule="exact"/>
              <w:ind w:left="105" w:leftChars="50" w:firstLine="115" w:firstLineChars="48"/>
              <w:jc w:val="center"/>
              <w:rPr>
                <w:bCs/>
                <w:color w:val="000000" w:themeColor="text1"/>
                <w14:textFill>
                  <w14:solidFill>
                    <w14:schemeClr w14:val="tx1"/>
                  </w14:solidFill>
                </w14:textFill>
              </w:rPr>
            </w:pPr>
          </w:p>
        </w:tc>
      </w:tr>
      <w:tr w14:paraId="45C7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1642" w:type="dxa"/>
            <w:tcBorders>
              <w:top w:val="single" w:color="auto" w:sz="4" w:space="0"/>
              <w:left w:val="single" w:color="auto" w:sz="4" w:space="0"/>
              <w:bottom w:val="single" w:color="auto" w:sz="4" w:space="0"/>
              <w:right w:val="single" w:color="auto" w:sz="4" w:space="0"/>
            </w:tcBorders>
          </w:tcPr>
          <w:p w14:paraId="4D6753DD">
            <w:pPr>
              <w:spacing w:line="46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tcPr>
          <w:p w14:paraId="5C8927EB">
            <w:pPr>
              <w:spacing w:line="460" w:lineRule="exact"/>
              <w:jc w:val="center"/>
              <w:rPr>
                <w:rFonts w:ascii="宋体" w:hAnsi="宋体" w:cs="宋体"/>
                <w:bCs/>
                <w:color w:val="000000" w:themeColor="text1"/>
                <w:sz w:val="24"/>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516B34C1">
            <w:pPr>
              <w:spacing w:line="460" w:lineRule="exact"/>
              <w:jc w:val="center"/>
              <w:rPr>
                <w:rFonts w:ascii="宋体" w:hAnsi="宋体" w:cs="宋体"/>
                <w:bCs/>
                <w:color w:val="000000" w:themeColor="text1"/>
                <w:sz w:val="24"/>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47327152">
            <w:pPr>
              <w:spacing w:line="460" w:lineRule="exact"/>
              <w:jc w:val="center"/>
              <w:rPr>
                <w:rFonts w:ascii="宋体" w:hAnsi="宋体" w:cs="宋体"/>
                <w:bCs/>
                <w:color w:val="000000" w:themeColor="text1"/>
                <w:sz w:val="24"/>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2E270529">
            <w:pPr>
              <w:spacing w:line="460" w:lineRule="exact"/>
              <w:jc w:val="center"/>
              <w:rPr>
                <w:rFonts w:ascii="宋体" w:hAnsi="宋体" w:cs="宋体"/>
                <w:bCs/>
                <w:color w:val="000000" w:themeColor="text1"/>
                <w:sz w:val="24"/>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74737FF1">
            <w:pPr>
              <w:spacing w:line="460" w:lineRule="exact"/>
              <w:jc w:val="center"/>
              <w:rPr>
                <w:rFonts w:ascii="宋体" w:hAnsi="宋体" w:cs="宋体"/>
                <w:bCs/>
                <w:color w:val="000000" w:themeColor="text1"/>
                <w:sz w:val="24"/>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5CDAACB8">
            <w:pPr>
              <w:spacing w:line="460" w:lineRule="exact"/>
              <w:jc w:val="center"/>
              <w:rPr>
                <w:rFonts w:ascii="宋体" w:hAnsi="宋体" w:cs="宋体"/>
                <w:bCs/>
                <w:color w:val="000000" w:themeColor="text1"/>
                <w:sz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11867558">
            <w:pPr>
              <w:spacing w:line="460" w:lineRule="exact"/>
              <w:jc w:val="center"/>
              <w:rPr>
                <w:rFonts w:ascii="宋体" w:hAnsi="宋体" w:cs="宋体"/>
                <w:bCs/>
                <w:color w:val="000000" w:themeColor="text1"/>
                <w:sz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5247FFC2">
            <w:pPr>
              <w:spacing w:line="46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如：国家/行业标准...</w:t>
            </w:r>
          </w:p>
        </w:tc>
      </w:tr>
      <w:tr w14:paraId="70A3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2" w:type="dxa"/>
            <w:tcBorders>
              <w:top w:val="single" w:color="auto" w:sz="4" w:space="0"/>
              <w:left w:val="single" w:color="auto" w:sz="4" w:space="0"/>
              <w:bottom w:val="single" w:color="auto" w:sz="4" w:space="0"/>
              <w:right w:val="single" w:color="auto" w:sz="4" w:space="0"/>
            </w:tcBorders>
          </w:tcPr>
          <w:p w14:paraId="70357AF3">
            <w:pPr>
              <w:spacing w:line="460" w:lineRule="exact"/>
              <w:jc w:val="center"/>
              <w:rPr>
                <w:rFonts w:ascii="宋体" w:hAnsi="宋体" w:cs="宋体"/>
                <w:bCs/>
                <w:color w:val="000000" w:themeColor="text1"/>
                <w:sz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tcPr>
          <w:p w14:paraId="60972F68">
            <w:pPr>
              <w:spacing w:line="460" w:lineRule="exact"/>
              <w:jc w:val="center"/>
              <w:rPr>
                <w:rFonts w:ascii="宋体" w:hAnsi="宋体" w:cs="宋体"/>
                <w:bCs/>
                <w:color w:val="000000" w:themeColor="text1"/>
                <w:sz w:val="24"/>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67EE3D61">
            <w:pPr>
              <w:spacing w:line="460" w:lineRule="exact"/>
              <w:jc w:val="center"/>
              <w:rPr>
                <w:rFonts w:ascii="宋体" w:hAnsi="宋体" w:cs="宋体"/>
                <w:bCs/>
                <w:color w:val="000000" w:themeColor="text1"/>
                <w:sz w:val="24"/>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0B341A85">
            <w:pPr>
              <w:spacing w:line="460" w:lineRule="exact"/>
              <w:jc w:val="center"/>
              <w:rPr>
                <w:rFonts w:ascii="宋体" w:hAnsi="宋体" w:cs="宋体"/>
                <w:bCs/>
                <w:color w:val="000000" w:themeColor="text1"/>
                <w:sz w:val="24"/>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74A908C0">
            <w:pPr>
              <w:spacing w:line="460" w:lineRule="exact"/>
              <w:jc w:val="center"/>
              <w:rPr>
                <w:rFonts w:ascii="宋体" w:hAnsi="宋体" w:cs="宋体"/>
                <w:bCs/>
                <w:color w:val="000000" w:themeColor="text1"/>
                <w:sz w:val="24"/>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1A5447FE">
            <w:pPr>
              <w:spacing w:line="460" w:lineRule="exact"/>
              <w:jc w:val="center"/>
              <w:rPr>
                <w:rFonts w:ascii="宋体" w:hAnsi="宋体" w:cs="宋体"/>
                <w:bCs/>
                <w:color w:val="000000" w:themeColor="text1"/>
                <w:sz w:val="24"/>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43B0F429">
            <w:pPr>
              <w:spacing w:line="460" w:lineRule="exact"/>
              <w:jc w:val="center"/>
              <w:rPr>
                <w:rFonts w:ascii="宋体" w:hAnsi="宋体" w:cs="宋体"/>
                <w:bCs/>
                <w:color w:val="000000" w:themeColor="text1"/>
                <w:sz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5512B911">
            <w:pPr>
              <w:spacing w:line="460" w:lineRule="exact"/>
              <w:jc w:val="center"/>
              <w:rPr>
                <w:rFonts w:ascii="宋体" w:hAnsi="宋体" w:cs="宋体"/>
                <w:bCs/>
                <w:color w:val="000000" w:themeColor="text1"/>
                <w:sz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1AE3C580">
            <w:pPr>
              <w:spacing w:line="460" w:lineRule="exact"/>
              <w:jc w:val="center"/>
              <w:rPr>
                <w:rFonts w:ascii="宋体" w:hAnsi="宋体" w:cs="宋体"/>
                <w:bCs/>
                <w:color w:val="000000" w:themeColor="text1"/>
                <w:sz w:val="24"/>
                <w14:textFill>
                  <w14:solidFill>
                    <w14:schemeClr w14:val="tx1"/>
                  </w14:solidFill>
                </w14:textFill>
              </w:rPr>
            </w:pPr>
          </w:p>
        </w:tc>
      </w:tr>
      <w:tr w14:paraId="24AA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2" w:type="dxa"/>
            <w:tcBorders>
              <w:top w:val="single" w:color="auto" w:sz="4" w:space="0"/>
              <w:left w:val="single" w:color="auto" w:sz="4" w:space="0"/>
              <w:bottom w:val="single" w:color="auto" w:sz="4" w:space="0"/>
              <w:right w:val="single" w:color="auto" w:sz="4" w:space="0"/>
            </w:tcBorders>
          </w:tcPr>
          <w:p w14:paraId="075CC6B1">
            <w:pPr>
              <w:spacing w:line="460" w:lineRule="exact"/>
              <w:jc w:val="center"/>
              <w:rPr>
                <w:rFonts w:ascii="宋体" w:hAnsi="宋体" w:cs="宋体"/>
                <w:bCs/>
                <w:color w:val="000000" w:themeColor="text1"/>
                <w:sz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tcPr>
          <w:p w14:paraId="5D47E5DD">
            <w:pPr>
              <w:spacing w:line="460" w:lineRule="exact"/>
              <w:jc w:val="center"/>
              <w:rPr>
                <w:rFonts w:ascii="宋体" w:hAnsi="宋体" w:cs="宋体"/>
                <w:bCs/>
                <w:color w:val="000000" w:themeColor="text1"/>
                <w:sz w:val="24"/>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1AB12E3D">
            <w:pPr>
              <w:spacing w:line="460" w:lineRule="exact"/>
              <w:jc w:val="center"/>
              <w:rPr>
                <w:rFonts w:ascii="宋体" w:hAnsi="宋体" w:cs="宋体"/>
                <w:bCs/>
                <w:color w:val="000000" w:themeColor="text1"/>
                <w:sz w:val="24"/>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5622C04F">
            <w:pPr>
              <w:spacing w:line="460" w:lineRule="exact"/>
              <w:jc w:val="center"/>
              <w:rPr>
                <w:rFonts w:ascii="宋体" w:hAnsi="宋体" w:cs="宋体"/>
                <w:bCs/>
                <w:color w:val="000000" w:themeColor="text1"/>
                <w:sz w:val="24"/>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63547C68">
            <w:pPr>
              <w:spacing w:line="460" w:lineRule="exact"/>
              <w:jc w:val="center"/>
              <w:rPr>
                <w:rFonts w:ascii="宋体" w:hAnsi="宋体" w:cs="宋体"/>
                <w:bCs/>
                <w:color w:val="000000" w:themeColor="text1"/>
                <w:sz w:val="24"/>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359B4E95">
            <w:pPr>
              <w:spacing w:line="460" w:lineRule="exact"/>
              <w:jc w:val="center"/>
              <w:rPr>
                <w:rFonts w:ascii="宋体" w:hAnsi="宋体" w:cs="宋体"/>
                <w:bCs/>
                <w:color w:val="000000" w:themeColor="text1"/>
                <w:sz w:val="24"/>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73530F39">
            <w:pPr>
              <w:spacing w:line="460" w:lineRule="exact"/>
              <w:jc w:val="center"/>
              <w:rPr>
                <w:rFonts w:ascii="宋体" w:hAnsi="宋体" w:cs="宋体"/>
                <w:bCs/>
                <w:color w:val="000000" w:themeColor="text1"/>
                <w:sz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2518A507">
            <w:pPr>
              <w:spacing w:line="460" w:lineRule="exact"/>
              <w:jc w:val="center"/>
              <w:rPr>
                <w:rFonts w:ascii="宋体" w:hAnsi="宋体" w:cs="宋体"/>
                <w:bCs/>
                <w:color w:val="000000" w:themeColor="text1"/>
                <w:sz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55491DC1">
            <w:pPr>
              <w:spacing w:line="460" w:lineRule="exact"/>
              <w:jc w:val="center"/>
              <w:rPr>
                <w:rFonts w:ascii="宋体" w:hAnsi="宋体" w:cs="宋体"/>
                <w:bCs/>
                <w:color w:val="000000" w:themeColor="text1"/>
                <w:sz w:val="24"/>
                <w14:textFill>
                  <w14:solidFill>
                    <w14:schemeClr w14:val="tx1"/>
                  </w14:solidFill>
                </w14:textFill>
              </w:rPr>
            </w:pPr>
          </w:p>
        </w:tc>
      </w:tr>
      <w:tr w14:paraId="1CE0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2" w:type="dxa"/>
            <w:tcBorders>
              <w:top w:val="single" w:color="auto" w:sz="4" w:space="0"/>
              <w:left w:val="single" w:color="auto" w:sz="4" w:space="0"/>
              <w:bottom w:val="single" w:color="auto" w:sz="4" w:space="0"/>
              <w:right w:val="single" w:color="auto" w:sz="4" w:space="0"/>
            </w:tcBorders>
          </w:tcPr>
          <w:p w14:paraId="4E282509">
            <w:pPr>
              <w:spacing w:line="460" w:lineRule="exact"/>
              <w:jc w:val="center"/>
              <w:rPr>
                <w:rStyle w:val="87"/>
                <w:color w:val="auto"/>
                <w:sz w:val="24"/>
                <w:szCs w:val="24"/>
                <w:lang w:val="en-US"/>
              </w:rPr>
            </w:pPr>
          </w:p>
        </w:tc>
        <w:tc>
          <w:tcPr>
            <w:tcW w:w="860" w:type="dxa"/>
            <w:tcBorders>
              <w:top w:val="single" w:color="auto" w:sz="4" w:space="0"/>
              <w:left w:val="single" w:color="auto" w:sz="4" w:space="0"/>
              <w:bottom w:val="single" w:color="auto" w:sz="4" w:space="0"/>
              <w:right w:val="single" w:color="auto" w:sz="4" w:space="0"/>
            </w:tcBorders>
          </w:tcPr>
          <w:p w14:paraId="7B4F8EAB">
            <w:pPr>
              <w:spacing w:line="460" w:lineRule="exact"/>
              <w:jc w:val="center"/>
              <w:rPr>
                <w:rFonts w:ascii="宋体" w:hAnsi="宋体" w:cs="宋体"/>
                <w:bCs/>
                <w:color w:val="000000" w:themeColor="text1"/>
                <w:sz w:val="24"/>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62D4D59D">
            <w:pPr>
              <w:spacing w:line="460" w:lineRule="exact"/>
              <w:jc w:val="center"/>
              <w:rPr>
                <w:rFonts w:ascii="宋体" w:hAnsi="宋体" w:cs="宋体"/>
                <w:bCs/>
                <w:color w:val="000000" w:themeColor="text1"/>
                <w:sz w:val="24"/>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33AB4905">
            <w:pPr>
              <w:spacing w:line="460" w:lineRule="exact"/>
              <w:jc w:val="center"/>
              <w:rPr>
                <w:rFonts w:ascii="宋体" w:hAnsi="宋体" w:cs="宋体"/>
                <w:bCs/>
                <w:color w:val="000000" w:themeColor="text1"/>
                <w:sz w:val="24"/>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721D6870">
            <w:pPr>
              <w:spacing w:line="460" w:lineRule="exact"/>
              <w:jc w:val="center"/>
              <w:rPr>
                <w:rFonts w:ascii="宋体" w:hAnsi="宋体" w:cs="宋体"/>
                <w:bCs/>
                <w:color w:val="000000" w:themeColor="text1"/>
                <w:sz w:val="24"/>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465352D4">
            <w:pPr>
              <w:spacing w:line="460" w:lineRule="exact"/>
              <w:jc w:val="center"/>
              <w:rPr>
                <w:rFonts w:ascii="宋体" w:hAnsi="宋体" w:cs="宋体"/>
                <w:bCs/>
                <w:color w:val="000000" w:themeColor="text1"/>
                <w:sz w:val="24"/>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01C51C78">
            <w:pPr>
              <w:spacing w:line="460" w:lineRule="exact"/>
              <w:jc w:val="center"/>
              <w:rPr>
                <w:rFonts w:ascii="宋体" w:hAnsi="宋体" w:cs="宋体"/>
                <w:bCs/>
                <w:color w:val="000000" w:themeColor="text1"/>
                <w:sz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7F32A469">
            <w:pPr>
              <w:spacing w:line="460" w:lineRule="exact"/>
              <w:jc w:val="center"/>
              <w:rPr>
                <w:rFonts w:ascii="宋体" w:hAnsi="宋体" w:cs="宋体"/>
                <w:bCs/>
                <w:color w:val="000000" w:themeColor="text1"/>
                <w:sz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306ED241">
            <w:pPr>
              <w:spacing w:line="460" w:lineRule="exact"/>
              <w:jc w:val="center"/>
              <w:rPr>
                <w:rFonts w:ascii="宋体" w:hAnsi="宋体" w:cs="宋体"/>
                <w:bCs/>
                <w:color w:val="000000" w:themeColor="text1"/>
                <w:sz w:val="24"/>
                <w14:textFill>
                  <w14:solidFill>
                    <w14:schemeClr w14:val="tx1"/>
                  </w14:solidFill>
                </w14:textFill>
              </w:rPr>
            </w:pPr>
          </w:p>
        </w:tc>
      </w:tr>
      <w:tr w14:paraId="6E1B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2" w:type="dxa"/>
            <w:tcBorders>
              <w:top w:val="single" w:color="auto" w:sz="4" w:space="0"/>
              <w:left w:val="single" w:color="auto" w:sz="4" w:space="0"/>
              <w:bottom w:val="single" w:color="auto" w:sz="4" w:space="0"/>
              <w:right w:val="single" w:color="auto" w:sz="4" w:space="0"/>
            </w:tcBorders>
          </w:tcPr>
          <w:p w14:paraId="159F0256">
            <w:pPr>
              <w:spacing w:line="460" w:lineRule="exact"/>
              <w:jc w:val="center"/>
              <w:rPr>
                <w:rStyle w:val="87"/>
                <w:rFonts w:hint="default"/>
                <w:color w:val="auto"/>
                <w:sz w:val="24"/>
                <w:szCs w:val="24"/>
                <w:lang w:val="en-US"/>
              </w:rPr>
            </w:pPr>
            <w:r>
              <w:rPr>
                <w:rFonts w:hint="eastAsia" w:ascii="宋体" w:hAnsi="宋体" w:cs="宋体"/>
                <w:bCs/>
                <w:color w:val="000000" w:themeColor="text1"/>
                <w:sz w:val="24"/>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tcPr>
          <w:p w14:paraId="05698B83">
            <w:pPr>
              <w:spacing w:line="460" w:lineRule="exact"/>
              <w:jc w:val="center"/>
              <w:rPr>
                <w:rFonts w:ascii="宋体" w:hAnsi="宋体" w:cs="宋体"/>
                <w:bCs/>
                <w:color w:val="000000" w:themeColor="text1"/>
                <w:sz w:val="24"/>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0F741706">
            <w:pPr>
              <w:spacing w:line="460" w:lineRule="exact"/>
              <w:jc w:val="center"/>
              <w:rPr>
                <w:rFonts w:ascii="宋体" w:hAnsi="宋体" w:cs="宋体"/>
                <w:bCs/>
                <w:color w:val="000000" w:themeColor="text1"/>
                <w:sz w:val="24"/>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31AFE7A5">
            <w:pPr>
              <w:spacing w:line="460" w:lineRule="exact"/>
              <w:jc w:val="center"/>
              <w:rPr>
                <w:rFonts w:ascii="宋体" w:hAnsi="宋体" w:cs="宋体"/>
                <w:bCs/>
                <w:color w:val="000000" w:themeColor="text1"/>
                <w:sz w:val="24"/>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13FC34FF">
            <w:pPr>
              <w:spacing w:line="460" w:lineRule="exact"/>
              <w:jc w:val="center"/>
              <w:rPr>
                <w:rFonts w:ascii="宋体" w:hAnsi="宋体" w:cs="宋体"/>
                <w:bCs/>
                <w:color w:val="000000" w:themeColor="text1"/>
                <w:sz w:val="24"/>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4073E46C">
            <w:pPr>
              <w:spacing w:line="460" w:lineRule="exact"/>
              <w:jc w:val="center"/>
              <w:rPr>
                <w:rFonts w:ascii="宋体" w:hAnsi="宋体" w:cs="宋体"/>
                <w:bCs/>
                <w:color w:val="000000" w:themeColor="text1"/>
                <w:sz w:val="24"/>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09C40970">
            <w:pPr>
              <w:spacing w:line="460" w:lineRule="exact"/>
              <w:jc w:val="center"/>
              <w:rPr>
                <w:rFonts w:ascii="宋体" w:hAnsi="宋体" w:cs="宋体"/>
                <w:bCs/>
                <w:color w:val="000000" w:themeColor="text1"/>
                <w:sz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288D346B">
            <w:pPr>
              <w:spacing w:line="460" w:lineRule="exact"/>
              <w:jc w:val="center"/>
              <w:rPr>
                <w:rFonts w:ascii="宋体" w:hAnsi="宋体" w:cs="宋体"/>
                <w:bCs/>
                <w:color w:val="000000" w:themeColor="text1"/>
                <w:sz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59310AF8">
            <w:pPr>
              <w:spacing w:line="460" w:lineRule="exact"/>
              <w:jc w:val="center"/>
              <w:rPr>
                <w:rFonts w:ascii="宋体" w:hAnsi="宋体" w:cs="宋体"/>
                <w:bCs/>
                <w:color w:val="000000" w:themeColor="text1"/>
                <w:sz w:val="24"/>
                <w14:textFill>
                  <w14:solidFill>
                    <w14:schemeClr w14:val="tx1"/>
                  </w14:solidFill>
                </w14:textFill>
              </w:rPr>
            </w:pPr>
          </w:p>
        </w:tc>
      </w:tr>
      <w:tr w14:paraId="3D3F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1642" w:type="dxa"/>
            <w:tcBorders>
              <w:top w:val="single" w:color="auto" w:sz="4" w:space="0"/>
              <w:left w:val="single" w:color="auto" w:sz="4" w:space="0"/>
              <w:bottom w:val="single" w:color="auto" w:sz="4" w:space="0"/>
              <w:right w:val="single" w:color="auto" w:sz="4" w:space="0"/>
            </w:tcBorders>
          </w:tcPr>
          <w:p w14:paraId="58BC0395">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合计（元）</w:t>
            </w:r>
          </w:p>
        </w:tc>
        <w:tc>
          <w:tcPr>
            <w:tcW w:w="7894" w:type="dxa"/>
            <w:gridSpan w:val="8"/>
            <w:tcBorders>
              <w:top w:val="single" w:color="auto" w:sz="4" w:space="0"/>
              <w:left w:val="single" w:color="auto" w:sz="4" w:space="0"/>
              <w:bottom w:val="single" w:color="auto" w:sz="4" w:space="0"/>
              <w:right w:val="single" w:color="auto" w:sz="4" w:space="0"/>
            </w:tcBorders>
          </w:tcPr>
          <w:p w14:paraId="43242F85">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大写：                                 小写：</w:t>
            </w:r>
          </w:p>
        </w:tc>
      </w:tr>
      <w:tr w14:paraId="074D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atLeast"/>
        </w:trPr>
        <w:tc>
          <w:tcPr>
            <w:tcW w:w="9536" w:type="dxa"/>
            <w:gridSpan w:val="9"/>
            <w:tcBorders>
              <w:top w:val="single" w:color="auto" w:sz="4" w:space="0"/>
              <w:left w:val="single" w:color="auto" w:sz="4" w:space="0"/>
              <w:bottom w:val="single" w:color="auto" w:sz="4" w:space="0"/>
              <w:right w:val="single" w:color="auto" w:sz="4" w:space="0"/>
            </w:tcBorders>
          </w:tcPr>
          <w:p w14:paraId="39D9F5AE">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重要提示：1、本表的每一页须加盖企业印章；2、本表内容涉及有国家标准的产品，须填写名称、品牌、型号及技术参数、报价等（若品牌、型号等填写的与实际不符，按照无效标处理）</w:t>
            </w:r>
          </w:p>
        </w:tc>
      </w:tr>
    </w:tbl>
    <w:p w14:paraId="326E1EF8">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Calibri"/>
          <w:color w:val="000000" w:themeColor="text1"/>
          <w:sz w:val="24"/>
          <w:szCs w:val="24"/>
          <w14:textFill>
            <w14:solidFill>
              <w14:schemeClr w14:val="tx1"/>
            </w14:solidFill>
          </w14:textFill>
        </w:rPr>
        <w:t>供应商：（盖章）</w:t>
      </w:r>
    </w:p>
    <w:p w14:paraId="786DDB60">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Calibri"/>
          <w:color w:val="000000" w:themeColor="text1"/>
          <w:sz w:val="24"/>
          <w:szCs w:val="24"/>
          <w14:textFill>
            <w14:solidFill>
              <w14:schemeClr w14:val="tx1"/>
            </w14:solidFill>
          </w14:textFill>
        </w:rPr>
        <w:t>法定代表人或授权委托代理人：（签字或盖章）</w:t>
      </w:r>
    </w:p>
    <w:p w14:paraId="2E5D94A6">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Calibri"/>
          <w:color w:val="000000" w:themeColor="text1"/>
          <w:sz w:val="24"/>
          <w:szCs w:val="24"/>
          <w14:textFill>
            <w14:solidFill>
              <w14:schemeClr w14:val="tx1"/>
            </w14:solidFill>
          </w14:textFill>
        </w:rPr>
        <w:t>年    月     日</w:t>
      </w:r>
    </w:p>
    <w:p w14:paraId="5E6A414D">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p>
    <w:p w14:paraId="1BB5D88B">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p>
    <w:p w14:paraId="2C31AAB7">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p>
    <w:p w14:paraId="45A16443">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p>
    <w:p w14:paraId="5B97DFE1">
      <w:pPr>
        <w:rPr>
          <w:rFonts w:hint="eastAsia" w:ascii="宋体" w:hAnsi="宋体"/>
          <w:b/>
          <w:bCs/>
          <w:color w:val="000000" w:themeColor="text1"/>
          <w:kern w:val="0"/>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br w:type="page"/>
      </w:r>
    </w:p>
    <w:p w14:paraId="0C727F1C">
      <w:pPr>
        <w:widowControl/>
        <w:spacing w:line="360" w:lineRule="auto"/>
        <w:jc w:val="center"/>
        <w:rPr>
          <w:rFonts w:ascii="宋体" w:hAnsi="宋体"/>
          <w:b/>
          <w:bCs/>
          <w:color w:val="000000" w:themeColor="text1"/>
          <w:kern w:val="0"/>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第二轮报价表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471"/>
      </w:tblGrid>
      <w:tr w14:paraId="3F9A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45E0F542">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项目名称</w:t>
            </w:r>
          </w:p>
        </w:tc>
        <w:tc>
          <w:tcPr>
            <w:tcW w:w="6471" w:type="dxa"/>
            <w:vAlign w:val="center"/>
          </w:tcPr>
          <w:p w14:paraId="56198EB6">
            <w:pPr>
              <w:spacing w:line="360" w:lineRule="auto"/>
              <w:rPr>
                <w:rFonts w:ascii="宋体" w:hAnsi="宋体"/>
                <w:color w:val="000000" w:themeColor="text1"/>
                <w:sz w:val="24"/>
                <w:shd w:val="clear" w:color="auto" w:fill="FFFFFF"/>
                <w14:textFill>
                  <w14:solidFill>
                    <w14:schemeClr w14:val="tx1"/>
                  </w14:solidFill>
                </w14:textFill>
              </w:rPr>
            </w:pPr>
          </w:p>
        </w:tc>
      </w:tr>
      <w:tr w14:paraId="3246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5FDE084B">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供应商</w:t>
            </w:r>
          </w:p>
        </w:tc>
        <w:tc>
          <w:tcPr>
            <w:tcW w:w="6471" w:type="dxa"/>
            <w:vAlign w:val="center"/>
          </w:tcPr>
          <w:p w14:paraId="173E4E3B">
            <w:pPr>
              <w:spacing w:line="360" w:lineRule="auto"/>
              <w:rPr>
                <w:rFonts w:ascii="宋体" w:hAnsi="宋体"/>
                <w:color w:val="000000" w:themeColor="text1"/>
                <w:sz w:val="24"/>
                <w:shd w:val="clear" w:color="auto" w:fill="FFFFFF"/>
                <w14:textFill>
                  <w14:solidFill>
                    <w14:schemeClr w14:val="tx1"/>
                  </w14:solidFill>
                </w14:textFill>
              </w:rPr>
            </w:pPr>
          </w:p>
        </w:tc>
      </w:tr>
      <w:tr w14:paraId="701D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2268" w:type="dxa"/>
            <w:vAlign w:val="center"/>
          </w:tcPr>
          <w:p w14:paraId="46B96E2E">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投标报价</w:t>
            </w:r>
          </w:p>
        </w:tc>
        <w:tc>
          <w:tcPr>
            <w:tcW w:w="6471" w:type="dxa"/>
            <w:vAlign w:val="center"/>
          </w:tcPr>
          <w:p w14:paraId="66F58E01">
            <w:pPr>
              <w:spacing w:line="360" w:lineRule="auto"/>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（大写）</w:t>
            </w:r>
            <w:r>
              <w:rPr>
                <w:rFonts w:hint="eastAsia" w:ascii="宋体" w:hAnsi="宋体"/>
                <w:color w:val="000000" w:themeColor="text1"/>
                <w:sz w:val="24"/>
                <w:u w:val="single"/>
                <w:shd w:val="clear" w:color="auto" w:fill="FFFFFF"/>
                <w14:textFill>
                  <w14:solidFill>
                    <w14:schemeClr w14:val="tx1"/>
                  </w14:solidFill>
                </w14:textFill>
              </w:rPr>
              <w:t xml:space="preserve">                                </w:t>
            </w:r>
          </w:p>
          <w:p w14:paraId="30F1DD4F">
            <w:pPr>
              <w:spacing w:line="360" w:lineRule="auto"/>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（小写）</w:t>
            </w:r>
            <w:r>
              <w:rPr>
                <w:rFonts w:hint="eastAsia" w:ascii="宋体" w:hAnsi="宋体"/>
                <w:color w:val="000000" w:themeColor="text1"/>
                <w:sz w:val="24"/>
                <w:u w:val="single"/>
                <w:shd w:val="clear" w:color="auto" w:fill="FFFFFF"/>
                <w14:textFill>
                  <w14:solidFill>
                    <w14:schemeClr w14:val="tx1"/>
                  </w14:solidFill>
                </w14:textFill>
              </w:rPr>
              <w:t xml:space="preserve">                                </w:t>
            </w:r>
          </w:p>
        </w:tc>
      </w:tr>
      <w:tr w14:paraId="03D2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30660E79">
            <w:pPr>
              <w:spacing w:line="360" w:lineRule="auto"/>
              <w:jc w:val="center"/>
              <w:rPr>
                <w:rFonts w:hint="default" w:ascii="宋体" w:hAnsi="宋体" w:eastAsia="宋体"/>
                <w:color w:val="000000" w:themeColor="text1"/>
                <w:sz w:val="24"/>
                <w:shd w:val="clear" w:color="auto" w:fill="FFFFFF"/>
                <w:lang w:val="en-US" w:eastAsia="zh-CN"/>
                <w14:textFill>
                  <w14:solidFill>
                    <w14:schemeClr w14:val="tx1"/>
                  </w14:solidFill>
                </w14:textFill>
              </w:rPr>
            </w:pPr>
            <w:r>
              <w:rPr>
                <w:rFonts w:hint="eastAsia" w:ascii="宋体" w:hAnsi="宋体"/>
                <w:color w:val="000000" w:themeColor="text1"/>
                <w:sz w:val="24"/>
                <w:shd w:val="clear" w:color="auto" w:fill="FFFFFF"/>
                <w:lang w:val="en-US" w:eastAsia="zh-CN"/>
                <w14:textFill>
                  <w14:solidFill>
                    <w14:schemeClr w14:val="tx1"/>
                  </w14:solidFill>
                </w14:textFill>
              </w:rPr>
              <w:t>采购范围</w:t>
            </w:r>
          </w:p>
        </w:tc>
        <w:tc>
          <w:tcPr>
            <w:tcW w:w="6471" w:type="dxa"/>
            <w:vAlign w:val="center"/>
          </w:tcPr>
          <w:p w14:paraId="70F03154">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3928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5C89C537">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合同履行期限</w:t>
            </w:r>
          </w:p>
        </w:tc>
        <w:tc>
          <w:tcPr>
            <w:tcW w:w="6471" w:type="dxa"/>
            <w:vAlign w:val="center"/>
          </w:tcPr>
          <w:p w14:paraId="28EEEDA3">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44CC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10C991FD">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质量要求</w:t>
            </w:r>
          </w:p>
        </w:tc>
        <w:tc>
          <w:tcPr>
            <w:tcW w:w="6471" w:type="dxa"/>
            <w:vAlign w:val="center"/>
          </w:tcPr>
          <w:p w14:paraId="7F6C7A8B">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3D83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126AB704">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质保期</w:t>
            </w:r>
          </w:p>
        </w:tc>
        <w:tc>
          <w:tcPr>
            <w:tcW w:w="6471" w:type="dxa"/>
            <w:vAlign w:val="center"/>
          </w:tcPr>
          <w:p w14:paraId="05E39DB5">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41AE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68258C6F">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投标有效期</w:t>
            </w:r>
          </w:p>
        </w:tc>
        <w:tc>
          <w:tcPr>
            <w:tcW w:w="6471" w:type="dxa"/>
            <w:vAlign w:val="center"/>
          </w:tcPr>
          <w:p w14:paraId="67D56CFA">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717A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739" w:type="dxa"/>
            <w:gridSpan w:val="2"/>
            <w:vAlign w:val="center"/>
          </w:tcPr>
          <w:p w14:paraId="381A0977">
            <w:pPr>
              <w:spacing w:line="360" w:lineRule="auto"/>
              <w:ind w:firstLine="482" w:firstLineChars="200"/>
              <w:jc w:val="left"/>
              <w:rPr>
                <w:rFonts w:ascii="宋体" w:hAnsi="宋体"/>
                <w:b/>
                <w:color w:val="000000" w:themeColor="text1"/>
                <w:sz w:val="24"/>
                <w:shd w:val="clear" w:color="auto" w:fill="FFFFFF"/>
                <w14:textFill>
                  <w14:solidFill>
                    <w14:schemeClr w14:val="tx1"/>
                  </w14:solidFill>
                </w14:textFill>
              </w:rPr>
            </w:pPr>
            <w:r>
              <w:rPr>
                <w:rFonts w:hint="eastAsia" w:ascii="宋体" w:hAnsi="宋体"/>
                <w:b/>
                <w:color w:val="000000" w:themeColor="text1"/>
                <w:sz w:val="24"/>
                <w:shd w:val="clear" w:color="auto" w:fill="FFFFFF"/>
                <w14:textFill>
                  <w14:solidFill>
                    <w14:schemeClr w14:val="tx1"/>
                  </w14:solidFill>
                </w14:textFill>
              </w:rPr>
              <w:t>优惠及服务承诺：</w:t>
            </w:r>
          </w:p>
          <w:p w14:paraId="25C78EB9">
            <w:pPr>
              <w:spacing w:line="360" w:lineRule="auto"/>
              <w:ind w:firstLine="482" w:firstLineChars="200"/>
              <w:jc w:val="left"/>
              <w:rPr>
                <w:rFonts w:ascii="宋体" w:hAnsi="宋体"/>
                <w:b/>
                <w:color w:val="000000" w:themeColor="text1"/>
                <w:sz w:val="24"/>
                <w:shd w:val="clear" w:color="auto" w:fill="FFFFFF"/>
                <w14:textFill>
                  <w14:solidFill>
                    <w14:schemeClr w14:val="tx1"/>
                  </w14:solidFill>
                </w14:textFill>
              </w:rPr>
            </w:pPr>
            <w:r>
              <w:rPr>
                <w:rFonts w:hint="eastAsia" w:ascii="宋体" w:hAnsi="宋体"/>
                <w:b/>
                <w:color w:val="000000" w:themeColor="text1"/>
                <w:sz w:val="24"/>
                <w:shd w:val="clear" w:color="auto" w:fill="FFFFFF"/>
                <w14:textFill>
                  <w14:solidFill>
                    <w14:schemeClr w14:val="tx1"/>
                  </w14:solidFill>
                </w14:textFill>
              </w:rPr>
              <w:t>（可另附页）</w:t>
            </w:r>
          </w:p>
        </w:tc>
      </w:tr>
    </w:tbl>
    <w:p w14:paraId="24DC8E46">
      <w:pPr>
        <w:spacing w:line="360" w:lineRule="auto"/>
        <w:ind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供应商（盖章）：                               </w:t>
      </w:r>
    </w:p>
    <w:p w14:paraId="4DAEFA0C">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法人代表或授权代表（签字或盖章）：                                                </w:t>
      </w:r>
    </w:p>
    <w:p w14:paraId="2D13F517">
      <w:pPr>
        <w:spacing w:line="360" w:lineRule="auto"/>
        <w:ind w:firstLine="480" w:firstLine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   </w:t>
      </w:r>
    </w:p>
    <w:p w14:paraId="38525895">
      <w:pPr>
        <w:pStyle w:val="16"/>
        <w:adjustRightInd w:val="0"/>
        <w:snapToGrid w:val="0"/>
        <w:spacing w:line="360" w:lineRule="auto"/>
        <w:ind w:firstLine="482" w:firstLineChars="200"/>
        <w:rPr>
          <w:rFonts w:hint="eastAsia" w:hAnsi="宋体"/>
          <w:b/>
          <w:bCs/>
          <w:color w:val="000000" w:themeColor="text1"/>
          <w:kern w:val="0"/>
          <w:sz w:val="24"/>
          <w14:textFill>
            <w14:solidFill>
              <w14:schemeClr w14:val="tx1"/>
            </w14:solidFill>
          </w14:textFill>
        </w:rPr>
      </w:pPr>
    </w:p>
    <w:p w14:paraId="31E20D2E">
      <w:pPr>
        <w:pStyle w:val="16"/>
        <w:adjustRightInd w:val="0"/>
        <w:snapToGrid w:val="0"/>
        <w:spacing w:line="360" w:lineRule="auto"/>
        <w:ind w:firstLine="482" w:firstLineChars="200"/>
        <w:rPr>
          <w:rFonts w:hAnsi="宋体" w:cs="宋体"/>
          <w:b/>
          <w:color w:val="000000" w:themeColor="text1"/>
          <w:sz w:val="24"/>
          <w:lang w:bidi="ar"/>
          <w14:textFill>
            <w14:solidFill>
              <w14:schemeClr w14:val="tx1"/>
            </w14:solidFill>
          </w14:textFill>
        </w:rPr>
      </w:pPr>
      <w:r>
        <w:rPr>
          <w:rFonts w:hint="eastAsia" w:hAnsi="宋体"/>
          <w:b/>
          <w:bCs/>
          <w:color w:val="000000" w:themeColor="text1"/>
          <w:kern w:val="0"/>
          <w:sz w:val="24"/>
          <w14:textFill>
            <w14:solidFill>
              <w14:schemeClr w14:val="tx1"/>
            </w14:solidFill>
          </w14:textFill>
        </w:rPr>
        <w:t>注：投标供应商在系统进行第二轮报价时，需以附件方式上传第二轮报价表电子版(PDF格式)，未提供第二轮报价表电子版（PDF）的视为无效标处理。</w:t>
      </w:r>
    </w:p>
    <w:p w14:paraId="68A49E98">
      <w:pPr>
        <w:pStyle w:val="4"/>
        <w:spacing w:before="0" w:after="0" w:line="360" w:lineRule="auto"/>
        <w:rPr>
          <w:rFonts w:ascii="宋体" w:hAnsi="宋体" w:cs="宋体"/>
          <w:color w:val="000000" w:themeColor="text1"/>
          <w:sz w:val="28"/>
          <w:szCs w:val="28"/>
          <w14:textFill>
            <w14:solidFill>
              <w14:schemeClr w14:val="tx1"/>
            </w14:solidFill>
          </w14:textFill>
        </w:rPr>
      </w:pPr>
      <w:bookmarkStart w:id="38" w:name="_Toc25259"/>
      <w:r>
        <w:rPr>
          <w:rFonts w:hint="eastAsia" w:ascii="宋体" w:hAnsi="宋体" w:cs="宋体"/>
          <w:color w:val="000000" w:themeColor="text1"/>
          <w:sz w:val="28"/>
          <w:szCs w:val="28"/>
          <w14:textFill>
            <w14:solidFill>
              <w14:schemeClr w14:val="tx1"/>
            </w14:solidFill>
          </w14:textFill>
        </w:rPr>
        <w:t>附件2：</w:t>
      </w:r>
      <w:bookmarkEnd w:id="38"/>
    </w:p>
    <w:p w14:paraId="1B2EBEBD">
      <w:pPr>
        <w:rPr>
          <w:color w:val="000000" w:themeColor="text1"/>
          <w14:textFill>
            <w14:solidFill>
              <w14:schemeClr w14:val="tx1"/>
            </w14:solidFill>
          </w14:textFill>
        </w:rPr>
      </w:pPr>
    </w:p>
    <w:p w14:paraId="007BD069">
      <w:pPr>
        <w:spacing w:line="360" w:lineRule="auto"/>
        <w:ind w:firstLine="562" w:firstLineChars="20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法定代表人身份证明</w:t>
      </w:r>
    </w:p>
    <w:p w14:paraId="78F46125">
      <w:pPr>
        <w:rPr>
          <w:color w:val="000000" w:themeColor="text1"/>
          <w14:textFill>
            <w14:solidFill>
              <w14:schemeClr w14:val="tx1"/>
            </w14:solidFill>
          </w14:textFill>
        </w:rPr>
      </w:pPr>
    </w:p>
    <w:p w14:paraId="680534F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供应商</w:t>
      </w:r>
      <w:r>
        <w:rPr>
          <w:rFonts w:hint="eastAsia" w:ascii="宋体" w:hAnsi="宋体"/>
          <w:color w:val="000000" w:themeColor="text1"/>
          <w:sz w:val="24"/>
          <w14:textFill>
            <w14:solidFill>
              <w14:schemeClr w14:val="tx1"/>
            </w14:solidFill>
          </w14:textFill>
        </w:rPr>
        <w:t>名称：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1BC6960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单位性质：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42DF6C9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388D192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成立时间：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7070D55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经营期限：</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04A5E60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性别：</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p>
    <w:p w14:paraId="29EC701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（供应商名称）的法定代表人。</w:t>
      </w:r>
    </w:p>
    <w:p w14:paraId="046788A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14:paraId="70F4EDFC">
      <w:pPr>
        <w:pStyle w:val="4"/>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2639060</wp:posOffset>
                </wp:positionH>
                <wp:positionV relativeFrom="paragraph">
                  <wp:posOffset>274955</wp:posOffset>
                </wp:positionV>
                <wp:extent cx="3134360" cy="2235200"/>
                <wp:effectExtent l="4445" t="5080" r="23495" b="7620"/>
                <wp:wrapNone/>
                <wp:docPr id="32" name="自选图形 5"/>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67A1639"/>
                        </w:txbxContent>
                      </wps:txbx>
                      <wps:bodyPr wrap="square" upright="1"/>
                    </wps:wsp>
                  </a:graphicData>
                </a:graphic>
              </wp:anchor>
            </w:drawing>
          </mc:Choice>
          <mc:Fallback>
            <w:pict>
              <v:shape id="自选图形 5" o:spid="_x0000_s1026" o:spt="176" type="#_x0000_t176" style="position:absolute;left:0pt;margin-left:207.8pt;margin-top:21.65pt;height:176pt;width:246.8pt;z-index:251662336;mso-width-relative:page;mso-height-relative:page;" fillcolor="#FFFFFF" filled="t" stroked="t" coordsize="21600,21600" o:gfxdata="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JxZKNgAAAAKAQAADwAAAAAAAAABACAAAAAiAAAAZHJzL2Rvd25yZXYueG1sUEsBAhQAFAAAAAgA&#10;h07iQDVe2L0lAgAAVAQAAA4AAAAAAAAAAQAgAAAAJwEAAGRycy9lMm9Eb2MueG1sUEsFBgAAAAAG&#10;AAYAWQEAAL4FAAAAAA==&#10;">
                <v:fill on="t" focussize="0,0"/>
                <v:stroke color="#000000" joinstyle="miter"/>
                <v:imagedata o:title=""/>
                <o:lock v:ext="edit" aspectratio="f"/>
                <v:textbox>
                  <w:txbxContent>
                    <w:p w14:paraId="567A1639"/>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-539750</wp:posOffset>
                </wp:positionH>
                <wp:positionV relativeFrom="paragraph">
                  <wp:posOffset>274955</wp:posOffset>
                </wp:positionV>
                <wp:extent cx="3134360" cy="2235200"/>
                <wp:effectExtent l="4445" t="5080" r="23495" b="7620"/>
                <wp:wrapNone/>
                <wp:docPr id="30" name="自选图形 3"/>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848098"/>
                        </w:txbxContent>
                      </wps:txbx>
                      <wps:bodyPr vert="horz" wrap="square" anchor="t" anchorCtr="0" upright="1"/>
                    </wps:wsp>
                  </a:graphicData>
                </a:graphic>
              </wp:anchor>
            </w:drawing>
          </mc:Choice>
          <mc:Fallback>
            <w:pict>
              <v:shape id="自选图形 3" o:spid="_x0000_s1026" o:spt="176" type="#_x0000_t176" style="position:absolute;left:0pt;margin-left:-42.5pt;margin-top:21.65pt;height:176pt;width:246.8pt;z-index:251660288;mso-width-relative:page;mso-height-relative:page;" fillcolor="#FFFFFF" filled="t" stroked="t" coordsize="21600,21600" o:gfxdata="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PULiC2QAAAAoBAAAPAAAAAAAAAAEAIAAAACIAAABkcnMvZG93&#10;bnJldi54bWxQSwECFAAUAAAACACHTuJABsPVcTgCAAB5BAAADgAAAAAAAAABACAAAAAoAQAAZHJz&#10;L2Uyb0RvYy54bWxQSwUGAAAAAAYABgBZAQAA0gUAAAAA&#10;">
                <v:fill on="t" focussize="0,0"/>
                <v:stroke color="#000000" joinstyle="miter"/>
                <v:imagedata o:title=""/>
                <o:lock v:ext="edit" aspectratio="f"/>
                <v:textbox>
                  <w:txbxContent>
                    <w:p w14:paraId="23848098"/>
                  </w:txbxContent>
                </v:textbox>
              </v:shape>
            </w:pict>
          </mc:Fallback>
        </mc:AlternateContent>
      </w:r>
    </w:p>
    <w:p w14:paraId="07098363">
      <w:pPr>
        <w:rPr>
          <w:rFonts w:ascii="宋体" w:hAnsi="宋体"/>
          <w:color w:val="000000" w:themeColor="text1"/>
          <w:sz w:val="24"/>
          <w14:textFill>
            <w14:solidFill>
              <w14:schemeClr w14:val="tx1"/>
            </w14:solidFill>
          </w14:textFill>
        </w:rPr>
      </w:pPr>
    </w:p>
    <w:p w14:paraId="09AA1ED0">
      <w:pPr>
        <w:pStyle w:val="4"/>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-415290</wp:posOffset>
                </wp:positionH>
                <wp:positionV relativeFrom="paragraph">
                  <wp:posOffset>139700</wp:posOffset>
                </wp:positionV>
                <wp:extent cx="2810510" cy="296545"/>
                <wp:effectExtent l="4445" t="4445" r="23495" b="22860"/>
                <wp:wrapNone/>
                <wp:docPr id="31" name="文本框 4"/>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5C5BC7">
                            <w:r>
                              <w:rPr>
                                <w:rFonts w:hint="eastAsia" w:ascii="宋体" w:hAnsi="宋体"/>
                                <w:sz w:val="24"/>
                              </w:rPr>
                              <w:t>法定代表人身份证复印件粘贴处（正面）</w:t>
                            </w:r>
                          </w:p>
                        </w:txbxContent>
                      </wps:txbx>
                      <wps:bodyPr vert="horz" wrap="square" anchor="t" anchorCtr="0" upright="1"/>
                    </wps:wsp>
                  </a:graphicData>
                </a:graphic>
              </wp:anchor>
            </w:drawing>
          </mc:Choice>
          <mc:Fallback>
            <w:pict>
              <v:shape id="文本框 4" o:spid="_x0000_s1026" o:spt="202" type="#_x0000_t202" style="position:absolute;left:0pt;margin-left:-32.7pt;margin-top:11pt;height:23.35pt;width:221.3pt;z-index:251661312;mso-width-relative:page;mso-height-relative:page;" fillcolor="#FFFFFF" filled="t" stroked="t" coordsize="21600,21600" o:gfxdata="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59DobZAAAACQEAAA8AAAAAAAAAAQAgAAAAIgAAAGRycy9kb3ducmV2LnhtbFBLAQIU&#10;ABQAAAAIAIdO4kAtTjhQKwIAAGoEAAAOAAAAAAAAAAEAIAAAACgBAABkcnMvZTJvRG9jLnhtbFBL&#10;BQYAAAAABgAGAFkBAADFBQAAAAA=&#10;">
                <v:fill on="t" focussize="0,0"/>
                <v:stroke color="#000000" joinstyle="miter"/>
                <v:imagedata o:title=""/>
                <o:lock v:ext="edit" aspectratio="f"/>
                <v:textbox>
                  <w:txbxContent>
                    <w:p w14:paraId="1A5C5BC7">
                      <w:r>
                        <w:rPr>
                          <w:rFonts w:hint="eastAsia" w:ascii="宋体" w:hAnsi="宋体"/>
                          <w:sz w:val="24"/>
                        </w:rPr>
                        <w:t>法定代表人身份证复印件粘贴处（正面）</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2827655</wp:posOffset>
                </wp:positionH>
                <wp:positionV relativeFrom="paragraph">
                  <wp:posOffset>116205</wp:posOffset>
                </wp:positionV>
                <wp:extent cx="2810510" cy="296545"/>
                <wp:effectExtent l="4445" t="4445" r="23495" b="22860"/>
                <wp:wrapNone/>
                <wp:docPr id="33" name="文本框 6"/>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D86ACC">
                            <w:r>
                              <w:rPr>
                                <w:rFonts w:hint="eastAsia" w:ascii="宋体" w:hAnsi="宋体"/>
                                <w:sz w:val="24"/>
                              </w:rPr>
                              <w:t>法定代表人身份证复印件粘贴处（背面）</w:t>
                            </w:r>
                          </w:p>
                        </w:txbxContent>
                      </wps:txbx>
                      <wps:bodyPr wrap="square" upright="1"/>
                    </wps:wsp>
                  </a:graphicData>
                </a:graphic>
              </wp:anchor>
            </w:drawing>
          </mc:Choice>
          <mc:Fallback>
            <w:pict>
              <v:shape id="文本框 6" o:spid="_x0000_s1026" o:spt="202" type="#_x0000_t202" style="position:absolute;left:0pt;margin-left:222.65pt;margin-top:9.15pt;height:23.35pt;width:221.3pt;z-index:251663360;mso-width-relative:page;mso-height-relative:page;" fillcolor="#FFFFFF" filled="t" stroked="t" coordsize="21600,21600" o:gfxdata="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1pGJjZAAAACQEAAA8A&#10;AAAAAAAAAQAgAAAAIgAAAGRycy9kb3ducmV2LnhtbFBLAQIUABQAAAAIAIdO4kCcacLkFgIAAEUE&#10;AAAOAAAAAAAAAAEAIAAAACgBAABkcnMvZTJvRG9jLnhtbFBLBQYAAAAABgAGAFkBAACwBQAAAAA=&#10;">
                <v:fill on="t" focussize="0,0"/>
                <v:stroke color="#000000" joinstyle="miter"/>
                <v:imagedata o:title=""/>
                <o:lock v:ext="edit" aspectratio="f"/>
                <v:textbox>
                  <w:txbxContent>
                    <w:p w14:paraId="28D86ACC">
                      <w:r>
                        <w:rPr>
                          <w:rFonts w:hint="eastAsia" w:ascii="宋体" w:hAnsi="宋体"/>
                          <w:sz w:val="24"/>
                        </w:rPr>
                        <w:t>法定代表人身份证复印件粘贴处（背面）</w:t>
                      </w:r>
                    </w:p>
                  </w:txbxContent>
                </v:textbox>
              </v:shape>
            </w:pict>
          </mc:Fallback>
        </mc:AlternateContent>
      </w:r>
    </w:p>
    <w:p w14:paraId="48BA9606">
      <w:pPr>
        <w:rPr>
          <w:rFonts w:ascii="宋体" w:hAnsi="宋体"/>
          <w:color w:val="000000" w:themeColor="text1"/>
          <w:sz w:val="24"/>
          <w14:textFill>
            <w14:solidFill>
              <w14:schemeClr w14:val="tx1"/>
            </w14:solidFill>
          </w14:textFill>
        </w:rPr>
      </w:pPr>
    </w:p>
    <w:p w14:paraId="400495E4">
      <w:pPr>
        <w:spacing w:line="360" w:lineRule="auto"/>
        <w:rPr>
          <w:rFonts w:ascii="宋体" w:hAnsi="宋体"/>
          <w:color w:val="000000" w:themeColor="text1"/>
          <w:sz w:val="24"/>
          <w14:textFill>
            <w14:solidFill>
              <w14:schemeClr w14:val="tx1"/>
            </w14:solidFill>
          </w14:textFill>
        </w:rPr>
      </w:pPr>
    </w:p>
    <w:p w14:paraId="7CC571AA">
      <w:pPr>
        <w:spacing w:line="360" w:lineRule="auto"/>
        <w:rPr>
          <w:rFonts w:ascii="宋体" w:hAnsi="宋体"/>
          <w:color w:val="000000" w:themeColor="text1"/>
          <w:sz w:val="24"/>
          <w14:textFill>
            <w14:solidFill>
              <w14:schemeClr w14:val="tx1"/>
            </w14:solidFill>
          </w14:textFill>
        </w:rPr>
      </w:pPr>
    </w:p>
    <w:p w14:paraId="086DE25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 （盖单位章）</w:t>
      </w:r>
    </w:p>
    <w:p w14:paraId="4B95738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6696C676">
      <w:pPr>
        <w:spacing w:line="360" w:lineRule="auto"/>
        <w:ind w:firstLine="6480" w:firstLineChars="27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14:paraId="14D63F55">
      <w:pPr>
        <w:rPr>
          <w:rFonts w:hint="eastAsia" w:ascii="宋体" w:hAnsi="宋体" w:cs="宋体"/>
          <w:color w:val="000000" w:themeColor="text1"/>
          <w14:textFill>
            <w14:solidFill>
              <w14:schemeClr w14:val="tx1"/>
            </w14:solidFill>
          </w14:textFill>
        </w:rPr>
      </w:pPr>
      <w:bookmarkStart w:id="39" w:name="_Toc28332"/>
      <w:r>
        <w:rPr>
          <w:rFonts w:hint="eastAsia" w:ascii="宋体" w:hAnsi="宋体" w:cs="宋体"/>
          <w:color w:val="000000" w:themeColor="text1"/>
          <w14:textFill>
            <w14:solidFill>
              <w14:schemeClr w14:val="tx1"/>
            </w14:solidFill>
          </w14:textFill>
        </w:rPr>
        <w:br w:type="page"/>
      </w:r>
    </w:p>
    <w:p w14:paraId="41F9848B">
      <w:pPr>
        <w:pStyle w:val="4"/>
        <w:spacing w:before="0" w:after="0"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附件3：</w:t>
      </w:r>
      <w:bookmarkEnd w:id="39"/>
    </w:p>
    <w:p w14:paraId="7ED96795">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授权委托书</w:t>
      </w:r>
    </w:p>
    <w:p w14:paraId="127FC120">
      <w:pPr>
        <w:rPr>
          <w:color w:val="000000" w:themeColor="text1"/>
          <w14:textFill>
            <w14:solidFill>
              <w14:schemeClr w14:val="tx1"/>
            </w14:solidFill>
          </w14:textFill>
        </w:rPr>
      </w:pPr>
    </w:p>
    <w:p w14:paraId="1703127E">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（供应商名称）的法定代表人，现委托</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（项目名称）项目响应文件、签订合同和处理有关事宜，其法律后果由我方承担。</w:t>
      </w:r>
    </w:p>
    <w:p w14:paraId="3C3C4FA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委托期限：</w:t>
      </w:r>
      <w:r>
        <w:rPr>
          <w:rFonts w:hint="eastAsia" w:ascii="宋体" w:hAnsi="宋体"/>
          <w:color w:val="000000" w:themeColor="text1"/>
          <w:sz w:val="24"/>
          <w:u w:val="single"/>
          <w14:textFill>
            <w14:solidFill>
              <w14:schemeClr w14:val="tx1"/>
            </w14:solidFill>
          </w14:textFill>
        </w:rPr>
        <w:t xml:space="preserve">                                </w:t>
      </w:r>
    </w:p>
    <w:p w14:paraId="42E27B4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代理人无转委托权。</w:t>
      </w:r>
    </w:p>
    <w:p w14:paraId="0FA9CD03">
      <w:pPr>
        <w:spacing w:line="360" w:lineRule="auto"/>
        <w:ind w:firstLine="480" w:firstLineChars="200"/>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-447675</wp:posOffset>
                </wp:positionH>
                <wp:positionV relativeFrom="paragraph">
                  <wp:posOffset>151130</wp:posOffset>
                </wp:positionV>
                <wp:extent cx="3134360" cy="2235200"/>
                <wp:effectExtent l="4445" t="5080" r="23495" b="7620"/>
                <wp:wrapNone/>
                <wp:docPr id="34" name="自选图形 7"/>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6F1FB08"/>
                        </w:txbxContent>
                      </wps:txbx>
                      <wps:bodyPr wrap="square" upright="1"/>
                    </wps:wsp>
                  </a:graphicData>
                </a:graphic>
              </wp:anchor>
            </w:drawing>
          </mc:Choice>
          <mc:Fallback>
            <w:pict>
              <v:shape id="自选图形 7" o:spid="_x0000_s1026" o:spt="176" type="#_x0000_t176" style="position:absolute;left:0pt;margin-left:-35.25pt;margin-top:11.9pt;height:176pt;width:246.8pt;z-index:251664384;mso-width-relative:page;mso-height-relative:page;" fillcolor="#FFFFFF" filled="t" stroked="t" coordsize="21600,21600" o:gfxdata="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bg61XZAAAACgEAAA8AAAAAAAAAAQAgAAAAIgAAAGRycy9kb3ducmV2LnhtbFBLAQIUABQAAAAI&#10;AIdO4kATc8MsJQIAAFQEAAAOAAAAAAAAAAEAIAAAACgBAABkcnMvZTJvRG9jLnhtbFBLBQYAAAAA&#10;BgAGAFkBAAC/BQAAAAA=&#10;">
                <v:fill on="t" focussize="0,0"/>
                <v:stroke color="#000000" joinstyle="miter"/>
                <v:imagedata o:title=""/>
                <o:lock v:ext="edit" aspectratio="f"/>
                <v:textbox>
                  <w:txbxContent>
                    <w:p w14:paraId="66F1FB08"/>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2695575</wp:posOffset>
                </wp:positionH>
                <wp:positionV relativeFrom="paragraph">
                  <wp:posOffset>179705</wp:posOffset>
                </wp:positionV>
                <wp:extent cx="3134360" cy="2235200"/>
                <wp:effectExtent l="4445" t="5080" r="23495" b="7620"/>
                <wp:wrapNone/>
                <wp:docPr id="35" name="自选图形 8"/>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8" o:spid="_x0000_s1026" o:spt="176" type="#_x0000_t176" style="position:absolute;left:0pt;margin-left:212.25pt;margin-top:14.15pt;height:176pt;width:246.8pt;z-index:251665408;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3P97zZ&#10;AAAACgEAAA8AAAAAAAAAAQAgAAAAIgAAAGRycy9kb3ducmV2LnhtbFBLAQIUABQAAAAIAIdO4kAa&#10;DC+MHwIAAEkEAAAOAAAAAAAAAAEAIAAAACgBAABkcnMvZTJvRG9jLnhtbFBLBQYAAAAABgAGAFkB&#10;AAC5BQAAAAA=&#10;">
                <v:fill on="t" focussize="0,0"/>
                <v:stroke color="#000000" joinstyle="miter"/>
                <v:imagedata o:title=""/>
                <o:lock v:ext="edit" aspectratio="f"/>
              </v:shape>
            </w:pict>
          </mc:Fallback>
        </mc:AlternateContent>
      </w:r>
    </w:p>
    <w:p w14:paraId="037CFF47">
      <w:pPr>
        <w:spacing w:line="360" w:lineRule="auto"/>
        <w:ind w:firstLine="480" w:firstLineChars="200"/>
        <w:rPr>
          <w:rFonts w:ascii="宋体" w:hAnsi="宋体"/>
          <w:color w:val="000000" w:themeColor="text1"/>
          <w:sz w:val="24"/>
          <w14:textFill>
            <w14:solidFill>
              <w14:schemeClr w14:val="tx1"/>
            </w14:solidFill>
          </w14:textFill>
        </w:rPr>
      </w:pPr>
    </w:p>
    <w:p w14:paraId="539E1109">
      <w:pPr>
        <w:spacing w:line="360" w:lineRule="auto"/>
        <w:ind w:firstLine="480" w:firstLineChars="200"/>
        <w:jc w:val="left"/>
        <w:rPr>
          <w:rFonts w:ascii="宋体" w:hAnsi="宋体"/>
          <w:color w:val="000000" w:themeColor="text1"/>
          <w:sz w:val="24"/>
          <w14:textFill>
            <w14:solidFill>
              <w14:schemeClr w14:val="tx1"/>
            </w14:solidFill>
          </w14:textFill>
        </w:rPr>
      </w:pPr>
    </w:p>
    <w:p w14:paraId="37ABC3DE">
      <w:pPr>
        <w:spacing w:line="360" w:lineRule="auto"/>
        <w:ind w:firstLine="480" w:firstLineChars="200"/>
        <w:jc w:val="left"/>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-265430</wp:posOffset>
                </wp:positionH>
                <wp:positionV relativeFrom="paragraph">
                  <wp:posOffset>273050</wp:posOffset>
                </wp:positionV>
                <wp:extent cx="2810510" cy="296545"/>
                <wp:effectExtent l="4445" t="4445" r="23495" b="22860"/>
                <wp:wrapNone/>
                <wp:docPr id="36" name="文本框 9"/>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423EE2">
                            <w:r>
                              <w:rPr>
                                <w:rFonts w:hint="eastAsia" w:ascii="宋体" w:hAnsi="宋体"/>
                                <w:sz w:val="24"/>
                              </w:rPr>
                              <w:t>委托代理人身份证复印件粘贴处（正面）</w:t>
                            </w:r>
                          </w:p>
                        </w:txbxContent>
                      </wps:txbx>
                      <wps:bodyPr wrap="square" upright="1"/>
                    </wps:wsp>
                  </a:graphicData>
                </a:graphic>
              </wp:anchor>
            </w:drawing>
          </mc:Choice>
          <mc:Fallback>
            <w:pict>
              <v:shape id="文本框 9" o:spid="_x0000_s1026" o:spt="202" type="#_x0000_t202" style="position:absolute;left:0pt;margin-left:-20.9pt;margin-top:21.5pt;height:23.35pt;width:221.3pt;z-index:251666432;mso-width-relative:page;mso-height-relative:page;" fillcolor="#FFFFFF" filled="t" stroked="t" coordsize="21600,21600" o:gfxdata="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VplJ2AAAAAkBAAAPAAAA&#10;AAAAAAEAIAAAACIAAABkcnMvZG93bnJldi54bWxQSwECFAAUAAAACACHTuJAP1sOMRUCAABFBAAA&#10;DgAAAAAAAAABACAAAAAnAQAAZHJzL2Uyb0RvYy54bWxQSwUGAAAAAAYABgBZAQAArgUAAAAA&#10;">
                <v:fill on="t" focussize="0,0"/>
                <v:stroke color="#000000" joinstyle="miter"/>
                <v:imagedata o:title=""/>
                <o:lock v:ext="edit" aspectratio="f"/>
                <v:textbox>
                  <w:txbxContent>
                    <w:p w14:paraId="22423EE2">
                      <w:r>
                        <w:rPr>
                          <w:rFonts w:hint="eastAsia" w:ascii="宋体" w:hAnsi="宋体"/>
                          <w:sz w:val="24"/>
                        </w:rPr>
                        <w:t>委托代理人身份证复印件粘贴处（正面）</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2825115</wp:posOffset>
                </wp:positionH>
                <wp:positionV relativeFrom="paragraph">
                  <wp:posOffset>234950</wp:posOffset>
                </wp:positionV>
                <wp:extent cx="2810510" cy="296545"/>
                <wp:effectExtent l="4445" t="4445" r="23495" b="22860"/>
                <wp:wrapNone/>
                <wp:docPr id="37" name="文本框 10"/>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6E6DD8">
                            <w:r>
                              <w:rPr>
                                <w:rFonts w:hint="eastAsia" w:ascii="宋体" w:hAnsi="宋体"/>
                                <w:sz w:val="24"/>
                              </w:rPr>
                              <w:t>委托代理人身份证复印件粘贴处（背面）</w:t>
                            </w:r>
                          </w:p>
                        </w:txbxContent>
                      </wps:txbx>
                      <wps:bodyPr wrap="square" upright="1"/>
                    </wps:wsp>
                  </a:graphicData>
                </a:graphic>
              </wp:anchor>
            </w:drawing>
          </mc:Choice>
          <mc:Fallback>
            <w:pict>
              <v:shape id="文本框 10" o:spid="_x0000_s1026" o:spt="202" type="#_x0000_t202" style="position:absolute;left:0pt;margin-left:222.45pt;margin-top:18.5pt;height:23.35pt;width:221.3pt;z-index:251667456;mso-width-relative:page;mso-height-relative:page;" fillcolor="#FFFFFF" filled="t" stroked="t" coordsize="21600,21600" o:gfxdata="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xHrF9kAAAAJAQAADwAA&#10;AAAAAAABACAAAAAiAAAAZHJzL2Rvd25yZXYueG1sUEsBAhQAFAAAAAgAh07iQELMlngVAgAARgQA&#10;AA4AAAAAAAAAAQAgAAAAKAEAAGRycy9lMm9Eb2MueG1sUEsFBgAAAAAGAAYAWQEAAK8FAAAAAA==&#10;">
                <v:fill on="t" focussize="0,0"/>
                <v:stroke color="#000000" joinstyle="miter"/>
                <v:imagedata o:title=""/>
                <o:lock v:ext="edit" aspectratio="f"/>
                <v:textbox>
                  <w:txbxContent>
                    <w:p w14:paraId="756E6DD8">
                      <w:r>
                        <w:rPr>
                          <w:rFonts w:hint="eastAsia" w:ascii="宋体" w:hAnsi="宋体"/>
                          <w:sz w:val="24"/>
                        </w:rPr>
                        <w:t>委托代理人身份证复印件粘贴处（背面）</w:t>
                      </w:r>
                    </w:p>
                  </w:txbxContent>
                </v:textbox>
              </v:shape>
            </w:pict>
          </mc:Fallback>
        </mc:AlternateContent>
      </w:r>
    </w:p>
    <w:p w14:paraId="6FFFCE38">
      <w:pPr>
        <w:spacing w:line="360" w:lineRule="auto"/>
        <w:ind w:firstLine="480" w:firstLineChars="200"/>
        <w:jc w:val="left"/>
        <w:rPr>
          <w:rFonts w:ascii="宋体" w:hAnsi="宋体"/>
          <w:color w:val="000000" w:themeColor="text1"/>
          <w:sz w:val="24"/>
          <w14:textFill>
            <w14:solidFill>
              <w14:schemeClr w14:val="tx1"/>
            </w14:solidFill>
          </w14:textFill>
        </w:rPr>
      </w:pPr>
    </w:p>
    <w:p w14:paraId="523F76F2">
      <w:pPr>
        <w:spacing w:line="360" w:lineRule="auto"/>
        <w:ind w:firstLine="480" w:firstLineChars="200"/>
        <w:jc w:val="left"/>
        <w:rPr>
          <w:rFonts w:ascii="宋体" w:hAnsi="宋体"/>
          <w:color w:val="000000" w:themeColor="text1"/>
          <w:sz w:val="24"/>
          <w14:textFill>
            <w14:solidFill>
              <w14:schemeClr w14:val="tx1"/>
            </w14:solidFill>
          </w14:textFill>
        </w:rPr>
      </w:pPr>
    </w:p>
    <w:p w14:paraId="409894FA">
      <w:pPr>
        <w:spacing w:line="360" w:lineRule="auto"/>
        <w:ind w:firstLine="480" w:firstLineChars="200"/>
        <w:jc w:val="left"/>
        <w:rPr>
          <w:rFonts w:ascii="宋体" w:hAnsi="宋体"/>
          <w:color w:val="000000" w:themeColor="text1"/>
          <w:sz w:val="24"/>
          <w14:textFill>
            <w14:solidFill>
              <w14:schemeClr w14:val="tx1"/>
            </w14:solidFill>
          </w14:textFill>
        </w:rPr>
      </w:pPr>
    </w:p>
    <w:p w14:paraId="0F8027CE">
      <w:pPr>
        <w:spacing w:line="360" w:lineRule="auto"/>
        <w:jc w:val="left"/>
        <w:rPr>
          <w:rFonts w:ascii="宋体" w:hAnsi="宋体"/>
          <w:color w:val="000000" w:themeColor="text1"/>
          <w:sz w:val="24"/>
          <w14:textFill>
            <w14:solidFill>
              <w14:schemeClr w14:val="tx1"/>
            </w14:solidFill>
          </w14:textFill>
        </w:rPr>
      </w:pPr>
    </w:p>
    <w:p w14:paraId="0F040030">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（盖单位公章） </w:t>
      </w:r>
    </w:p>
    <w:p w14:paraId="61D96179">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（签字或盖章）</w:t>
      </w:r>
    </w:p>
    <w:p w14:paraId="425637FE">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（签字或盖章）</w:t>
      </w:r>
    </w:p>
    <w:p w14:paraId="1785C472">
      <w:pPr>
        <w:spacing w:line="360" w:lineRule="auto"/>
        <w:ind w:firstLine="5040" w:firstLineChars="2100"/>
        <w:rPr>
          <w:rFonts w:ascii="宋体" w:hAnsi="宋体"/>
          <w:color w:val="000000" w:themeColor="text1"/>
          <w:sz w:val="24"/>
          <w14:textFill>
            <w14:solidFill>
              <w14:schemeClr w14:val="tx1"/>
            </w14:solidFill>
          </w14:textFill>
        </w:rPr>
      </w:pPr>
    </w:p>
    <w:p w14:paraId="5D6032FA">
      <w:pPr>
        <w:spacing w:line="360" w:lineRule="auto"/>
        <w:ind w:firstLine="5040" w:firstLineChars="2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0B363249">
      <w:pPr>
        <w:widowControl/>
        <w:spacing w:line="360" w:lineRule="auto"/>
        <w:jc w:val="left"/>
        <w:rPr>
          <w:rFonts w:ascii="宋体" w:hAnsi="宋体"/>
          <w:b/>
          <w:color w:val="000000" w:themeColor="text1"/>
          <w:sz w:val="28"/>
          <w:szCs w:val="28"/>
          <w14:textFill>
            <w14:solidFill>
              <w14:schemeClr w14:val="tx1"/>
            </w14:solidFill>
          </w14:textFill>
        </w:rPr>
      </w:pPr>
    </w:p>
    <w:p w14:paraId="435013BE">
      <w:pPr>
        <w:widowControl/>
        <w:spacing w:line="360" w:lineRule="auto"/>
        <w:jc w:val="left"/>
        <w:rPr>
          <w:rFonts w:hint="eastAsia" w:ascii="宋体" w:hAnsi="宋体"/>
          <w:b/>
          <w:color w:val="000000" w:themeColor="text1"/>
          <w:sz w:val="28"/>
          <w:szCs w:val="28"/>
          <w14:textFill>
            <w14:solidFill>
              <w14:schemeClr w14:val="tx1"/>
            </w14:solidFill>
          </w14:textFill>
        </w:rPr>
      </w:pPr>
    </w:p>
    <w:p w14:paraId="67E347D0">
      <w:pPr>
        <w:widowControl/>
        <w:spacing w:line="360" w:lineRule="auto"/>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附件4：</w:t>
      </w:r>
    </w:p>
    <w:p w14:paraId="672FDA05">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供应商的资格证明承诺函</w:t>
      </w:r>
    </w:p>
    <w:p w14:paraId="58D3F6B5">
      <w:pPr>
        <w:rPr>
          <w:color w:val="000000" w:themeColor="text1"/>
          <w14:textFill>
            <w14:solidFill>
              <w14:schemeClr w14:val="tx1"/>
            </w14:solidFill>
          </w14:textFill>
        </w:rPr>
      </w:pPr>
    </w:p>
    <w:p w14:paraId="5AE1D90A">
      <w:pPr>
        <w:widowControl/>
        <w:spacing w:line="360" w:lineRule="auto"/>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致 (采购人)：_________________________________ </w:t>
      </w:r>
    </w:p>
    <w:p w14:paraId="3446AA5B">
      <w:pPr>
        <w:widowControl/>
        <w:spacing w:line="360" w:lineRule="auto"/>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供应商名称： _________________________________</w:t>
      </w:r>
    </w:p>
    <w:p w14:paraId="4D510A43">
      <w:pPr>
        <w:widowControl/>
        <w:spacing w:line="360" w:lineRule="auto"/>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统一社会信用代码：_________________________________ </w:t>
      </w:r>
    </w:p>
    <w:p w14:paraId="2F1632E9">
      <w:pPr>
        <w:widowControl/>
        <w:spacing w:line="360" w:lineRule="auto"/>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供应商地址：_________________________________</w:t>
      </w:r>
    </w:p>
    <w:p w14:paraId="6BF82DC4">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w:t>
      </w:r>
    </w:p>
    <w:p w14:paraId="5BF67812">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一、我单位具有有效的营业执照（三证合一）</w:t>
      </w:r>
    </w:p>
    <w:p w14:paraId="2583DFE1">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二、我单位符合《中华人民共和国政府采购法》第二十二条规定的条件： </w:t>
      </w:r>
    </w:p>
    <w:p w14:paraId="7A3377AF">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1.我单位具有符合采购文件资格要求的独立承担民事责任的能力。 </w:t>
      </w:r>
    </w:p>
    <w:p w14:paraId="24E936BB">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2.我单位具有符合采购文件资格要求的财务状况报告。 </w:t>
      </w:r>
    </w:p>
    <w:p w14:paraId="5B02E1E3">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3.我单位具有符合采购文件资格要求的依法缴纳税收和社会保障记录的良好记录。 </w:t>
      </w:r>
    </w:p>
    <w:p w14:paraId="12363073">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4.我单位具有符合采购文件资格要求的履行合同所必需的设备和专业技术能力。 </w:t>
      </w:r>
    </w:p>
    <w:p w14:paraId="5BE3EEB9">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5.我单位参加政府采购活动前三年内，在经营活动中没有重大违法记录。 </w:t>
      </w:r>
    </w:p>
    <w:p w14:paraId="1E6D1EA4">
      <w:pPr>
        <w:rPr>
          <w:color w:val="000000" w:themeColor="text1"/>
          <w14:textFill>
            <w14:solidFill>
              <w14:schemeClr w14:val="tx1"/>
            </w14:solidFill>
          </w14:textFill>
        </w:rPr>
      </w:pPr>
    </w:p>
    <w:p w14:paraId="1E5D0F3A">
      <w:pPr>
        <w:pStyle w:val="4"/>
        <w:spacing w:line="400" w:lineRule="exact"/>
        <w:ind w:firstLine="482" w:firstLineChars="200"/>
        <w:rPr>
          <w:rFonts w:ascii="宋体" w:hAnsi="宋体"/>
          <w:color w:val="000000" w:themeColor="text1"/>
          <w:sz w:val="24"/>
          <w:szCs w:val="21"/>
          <w14:textFill>
            <w14:solidFill>
              <w14:schemeClr w14:val="tx1"/>
            </w14:solidFill>
          </w14:textFill>
        </w:rPr>
      </w:pPr>
      <w:bookmarkStart w:id="40" w:name="_Toc7407"/>
      <w:r>
        <w:rPr>
          <w:rFonts w:hint="eastAsia" w:ascii="宋体" w:hAnsi="宋体"/>
          <w:color w:val="000000" w:themeColor="text1"/>
          <w:sz w:val="24"/>
          <w:szCs w:val="21"/>
          <w14:textFill>
            <w14:solidFill>
              <w14:schemeClr w14:val="tx1"/>
            </w14:solidFill>
          </w14:textFill>
        </w:rPr>
        <w:t>若我单位承诺不实，自愿承担提供虚假材料谋取中标、成交的法律责任。</w:t>
      </w:r>
      <w:bookmarkEnd w:id="40"/>
      <w:r>
        <w:rPr>
          <w:rFonts w:hint="eastAsia" w:ascii="宋体" w:hAnsi="宋体"/>
          <w:color w:val="000000" w:themeColor="text1"/>
          <w:sz w:val="24"/>
          <w:szCs w:val="21"/>
          <w14:textFill>
            <w14:solidFill>
              <w14:schemeClr w14:val="tx1"/>
            </w14:solidFill>
          </w14:textFill>
        </w:rPr>
        <w:t xml:space="preserve"> </w:t>
      </w:r>
    </w:p>
    <w:p w14:paraId="769FD63E">
      <w:pPr>
        <w:rPr>
          <w:color w:val="000000" w:themeColor="text1"/>
          <w14:textFill>
            <w14:solidFill>
              <w14:schemeClr w14:val="tx1"/>
            </w14:solidFill>
          </w14:textFill>
        </w:rPr>
      </w:pPr>
    </w:p>
    <w:p w14:paraId="59092C20">
      <w:pPr>
        <w:widowControl/>
        <w:spacing w:line="480" w:lineRule="exact"/>
        <w:jc w:val="righ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承诺供应商（全称并加盖公章）：__________________ </w:t>
      </w:r>
    </w:p>
    <w:p w14:paraId="61A53EA4">
      <w:pPr>
        <w:widowControl/>
        <w:spacing w:line="480" w:lineRule="exact"/>
        <w:jc w:val="righ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法定代表人或授权代表(签字或盖章)：__________________ </w:t>
      </w:r>
    </w:p>
    <w:p w14:paraId="368415A7">
      <w:pPr>
        <w:widowControl/>
        <w:spacing w:line="480" w:lineRule="exact"/>
        <w:jc w:val="righ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日期：</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年</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月</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日</w:t>
      </w:r>
    </w:p>
    <w:p w14:paraId="4138B7A7">
      <w:pP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14:paraId="70359C25">
      <w:pPr>
        <w:spacing w:line="360" w:lineRule="auto"/>
        <w:rPr>
          <w:b/>
          <w:color w:val="000000" w:themeColor="text1"/>
          <w:sz w:val="32"/>
          <w:szCs w:val="32"/>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附件5：</w:t>
      </w:r>
    </w:p>
    <w:p w14:paraId="764EEC5D">
      <w:pPr>
        <w:spacing w:line="360" w:lineRule="auto"/>
        <w:ind w:firstLine="643" w:firstLineChars="200"/>
        <w:jc w:val="center"/>
        <w:rPr>
          <w:b/>
          <w:color w:val="000000" w:themeColor="text1"/>
          <w:sz w:val="32"/>
          <w:szCs w:val="32"/>
          <w14:textFill>
            <w14:solidFill>
              <w14:schemeClr w14:val="tx1"/>
            </w14:solidFill>
          </w14:textFill>
        </w:rPr>
      </w:pPr>
    </w:p>
    <w:p w14:paraId="7D14ABC1">
      <w:pPr>
        <w:spacing w:line="360" w:lineRule="auto"/>
        <w:ind w:firstLine="562" w:firstLineChars="20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供应商的服务承诺及优惠承诺</w:t>
      </w:r>
    </w:p>
    <w:p w14:paraId="356D1A39">
      <w:pPr>
        <w:widowControl/>
        <w:spacing w:line="360" w:lineRule="auto"/>
        <w:jc w:val="left"/>
        <w:rPr>
          <w:rFonts w:ascii="宋体" w:hAnsi="宋体"/>
          <w:color w:val="000000" w:themeColor="text1"/>
          <w:kern w:val="0"/>
          <w:sz w:val="24"/>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附件6：</w:t>
      </w:r>
    </w:p>
    <w:p w14:paraId="4CEAC304">
      <w:pPr>
        <w:spacing w:line="360" w:lineRule="auto"/>
        <w:ind w:firstLine="643" w:firstLineChars="200"/>
        <w:jc w:val="center"/>
        <w:rPr>
          <w:b/>
          <w:color w:val="000000" w:themeColor="text1"/>
          <w:sz w:val="32"/>
          <w:szCs w:val="32"/>
          <w14:textFill>
            <w14:solidFill>
              <w14:schemeClr w14:val="tx1"/>
            </w14:solidFill>
          </w14:textFill>
        </w:rPr>
      </w:pPr>
    </w:p>
    <w:p w14:paraId="61662EB0">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供应商所投产品属于政府采购清单规定的节能环保产品的证明材料</w:t>
      </w:r>
    </w:p>
    <w:p w14:paraId="5BD9F7B1">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（如有）</w:t>
      </w:r>
    </w:p>
    <w:p w14:paraId="150FBBCC">
      <w:pPr>
        <w:widowControl/>
        <w:spacing w:line="360" w:lineRule="auto"/>
        <w:jc w:val="left"/>
        <w:rPr>
          <w:b/>
          <w:color w:val="000000" w:themeColor="text1"/>
          <w:sz w:val="44"/>
          <w:szCs w:val="44"/>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附件7：</w:t>
      </w:r>
    </w:p>
    <w:p w14:paraId="57BD4055">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投标承诺函</w:t>
      </w:r>
    </w:p>
    <w:p w14:paraId="4F273D3E">
      <w:pPr>
        <w:widowControl/>
        <w:tabs>
          <w:tab w:val="left" w:pos="735"/>
        </w:tabs>
        <w:spacing w:line="600" w:lineRule="atLeast"/>
        <w:rPr>
          <w:rFonts w:ascii="宋体" w:hAnsi="宋体"/>
          <w:b/>
          <w:color w:val="000000" w:themeColor="text1"/>
          <w:sz w:val="28"/>
          <w:szCs w:val="28"/>
          <w14:textFill>
            <w14:solidFill>
              <w14:schemeClr w14:val="tx1"/>
            </w14:solidFill>
          </w14:textFill>
        </w:rPr>
      </w:pPr>
    </w:p>
    <w:p w14:paraId="5A815100">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项目（采购编号：       ）投标行为做出承诺，保证所提交材料的真实性。</w:t>
      </w:r>
    </w:p>
    <w:p w14:paraId="07378B49">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我单位承诺：</w:t>
      </w:r>
    </w:p>
    <w:p w14:paraId="3EEFC8A9">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1、在响应性文件递交截止时间后至确定成交人的</w:t>
      </w:r>
      <w:r>
        <w:fldChar w:fldCharType="begin"/>
      </w:r>
      <w:r>
        <w:instrText xml:space="preserve"> HYPERLINK "https://baike.so.com/doc/5394983-5632135.html" \t "https://baike.so.com/doc/_blank" </w:instrText>
      </w:r>
      <w:r>
        <w:fldChar w:fldCharType="separate"/>
      </w:r>
      <w:r>
        <w:rPr>
          <w:rFonts w:ascii="宋体" w:hAnsi="宋体"/>
          <w:color w:val="000000" w:themeColor="text1"/>
          <w:sz w:val="24"/>
          <w14:textFill>
            <w14:solidFill>
              <w14:schemeClr w14:val="tx1"/>
            </w14:solidFill>
          </w14:textFill>
        </w:rPr>
        <w:t>投标有效期</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t>内</w:t>
      </w:r>
      <w:r>
        <w:rPr>
          <w:rFonts w:hint="eastAsia" w:ascii="宋体" w:hAnsi="宋体"/>
          <w:color w:val="000000" w:themeColor="text1"/>
          <w:sz w:val="24"/>
          <w14:textFill>
            <w14:solidFill>
              <w14:schemeClr w14:val="tx1"/>
            </w14:solidFill>
          </w14:textFill>
        </w:rPr>
        <w:t>，我单位不得要求退出竞标或者修改响应性文件且</w:t>
      </w:r>
      <w:r>
        <w:rPr>
          <w:rFonts w:ascii="宋体" w:hAnsi="宋体"/>
          <w:color w:val="000000" w:themeColor="text1"/>
          <w:sz w:val="24"/>
          <w14:textFill>
            <w14:solidFill>
              <w14:schemeClr w14:val="tx1"/>
            </w14:solidFill>
          </w14:textFill>
        </w:rPr>
        <w:t>对递交的</w:t>
      </w:r>
      <w:r>
        <w:rPr>
          <w:rFonts w:hint="eastAsia" w:ascii="宋体" w:hAnsi="宋体"/>
          <w:color w:val="000000" w:themeColor="text1"/>
          <w:sz w:val="24"/>
          <w14:textFill>
            <w14:solidFill>
              <w14:schemeClr w14:val="tx1"/>
            </w14:solidFill>
          </w14:textFill>
        </w:rPr>
        <w:t>响应性</w:t>
      </w:r>
      <w:r>
        <w:rPr>
          <w:rFonts w:ascii="宋体" w:hAnsi="宋体"/>
          <w:color w:val="000000" w:themeColor="text1"/>
          <w:sz w:val="24"/>
          <w14:textFill>
            <w14:solidFill>
              <w14:schemeClr w14:val="tx1"/>
            </w14:solidFill>
          </w14:textFill>
        </w:rPr>
        <w:t>文件负责，受其约束。</w:t>
      </w:r>
    </w:p>
    <w:p w14:paraId="7D0D6B2F">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2、若我单位成交，在接到成交通知书后，除不可抗力因素外，及时按</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与采购人</w:t>
      </w:r>
      <w:r>
        <w:rPr>
          <w:rFonts w:ascii="宋体" w:hAnsi="宋体"/>
          <w:color w:val="000000" w:themeColor="text1"/>
          <w:sz w:val="24"/>
          <w14:textFill>
            <w14:solidFill>
              <w14:schemeClr w14:val="tx1"/>
            </w14:solidFill>
          </w14:textFill>
        </w:rPr>
        <w:t>签订合同</w:t>
      </w:r>
      <w:r>
        <w:rPr>
          <w:rFonts w:hint="eastAsia" w:ascii="宋体" w:hAnsi="宋体"/>
          <w:color w:val="000000" w:themeColor="text1"/>
          <w:sz w:val="24"/>
          <w14:textFill>
            <w14:solidFill>
              <w14:schemeClr w14:val="tx1"/>
            </w14:solidFill>
          </w14:textFill>
        </w:rPr>
        <w:t>并认真履约。</w:t>
      </w:r>
    </w:p>
    <w:p w14:paraId="2441D416">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14:paraId="56A3D2AB">
      <w:pPr>
        <w:spacing w:line="360" w:lineRule="auto"/>
        <w:ind w:firstLine="480" w:firstLineChars="200"/>
        <w:jc w:val="left"/>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一旦我方中标，我方在收到成交通知书后15日内，依据竞争性谈判文件、响应文件与采购人签订合同。若由于我方原因在15日内因非不可抗力拒绝与采购人签订合同的，愿意接受相关部门依法作出的处罚。合同签订后严格按照合同履约，并配合采购人完成履约验收。</w:t>
      </w:r>
    </w:p>
    <w:p w14:paraId="367256B4">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002B74DC">
      <w:pPr>
        <w:spacing w:line="52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6、不存在法律法规规定的其他违法违规行为。</w:t>
      </w:r>
    </w:p>
    <w:p w14:paraId="2BC039A7">
      <w:pPr>
        <w:rPr>
          <w:color w:val="000000" w:themeColor="text1"/>
          <w14:textFill>
            <w14:solidFill>
              <w14:schemeClr w14:val="tx1"/>
            </w14:solidFill>
          </w14:textFill>
        </w:rPr>
      </w:pPr>
    </w:p>
    <w:p w14:paraId="75A4D71D">
      <w:pPr>
        <w:pStyle w:val="16"/>
        <w:adjustRightInd w:val="0"/>
        <w:snapToGrid w:val="0"/>
        <w:spacing w:line="360" w:lineRule="auto"/>
        <w:ind w:firstLine="480" w:firstLineChars="200"/>
        <w:jc w:val="righ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供应商（盖章）： </w:t>
      </w:r>
    </w:p>
    <w:p w14:paraId="076A95E0">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宋体"/>
          <w:color w:val="000000" w:themeColor="text1"/>
          <w:sz w:val="24"/>
          <w14:textFill>
            <w14:solidFill>
              <w14:schemeClr w14:val="tx1"/>
            </w14:solidFill>
          </w14:textFill>
        </w:rPr>
        <w:t xml:space="preserve"> </w:t>
      </w:r>
      <w:r>
        <w:rPr>
          <w:rFonts w:hint="eastAsia" w:hAnsi="Calibri"/>
          <w:color w:val="000000" w:themeColor="text1"/>
          <w:sz w:val="24"/>
          <w:szCs w:val="24"/>
          <w14:textFill>
            <w14:solidFill>
              <w14:schemeClr w14:val="tx1"/>
            </w14:solidFill>
          </w14:textFill>
        </w:rPr>
        <w:t>年    月     日</w:t>
      </w:r>
    </w:p>
    <w:p w14:paraId="499137E0">
      <w:pP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14:paraId="64E9FC6E">
      <w:pPr>
        <w:spacing w:line="520" w:lineRule="exact"/>
        <w:rPr>
          <w:b/>
          <w:color w:val="000000" w:themeColor="text1"/>
          <w:sz w:val="44"/>
          <w:szCs w:val="4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附件8：</w:t>
      </w:r>
      <w:r>
        <w:rPr>
          <w:rFonts w:hint="eastAsia" w:ascii="宋体" w:hAnsi="宋体"/>
          <w:color w:val="000000" w:themeColor="text1"/>
          <w:sz w:val="24"/>
          <w14:textFill>
            <w14:solidFill>
              <w14:schemeClr w14:val="tx1"/>
            </w14:solidFill>
          </w14:textFill>
        </w:rPr>
        <w:t xml:space="preserve">    </w:t>
      </w:r>
    </w:p>
    <w:p w14:paraId="52076D73">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中小企业声明函</w:t>
      </w:r>
    </w:p>
    <w:p w14:paraId="6994AD79">
      <w:pPr>
        <w:jc w:val="center"/>
        <w:rPr>
          <w:rFonts w:ascii="宋体" w:hAnsi="宋体" w:cs="宋体"/>
          <w:b/>
          <w:bCs/>
          <w:color w:val="000000" w:themeColor="text1"/>
          <w:sz w:val="28"/>
          <w:szCs w:val="28"/>
          <w14:textFill>
            <w14:solidFill>
              <w14:schemeClr w14:val="tx1"/>
            </w14:solidFill>
          </w14:textFill>
        </w:rPr>
      </w:pPr>
    </w:p>
    <w:p w14:paraId="25811A78">
      <w:pPr>
        <w:spacing w:line="56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本公司（联合体）郑重声明，根据《政府采购促进中小 企业发展管理办法》（财库﹝2020﹞46 号）的规定，本公司 （联合体）参加</w:t>
      </w:r>
      <w:r>
        <w:rPr>
          <w:rFonts w:ascii="宋体" w:hAnsi="宋体" w:cs="宋体"/>
          <w:color w:val="000000" w:themeColor="text1"/>
          <w:sz w:val="24"/>
          <w:u w:val="single"/>
          <w14:textFill>
            <w14:solidFill>
              <w14:schemeClr w14:val="tx1"/>
            </w14:solidFill>
          </w14:textFill>
        </w:rPr>
        <w:t>（单位名称）</w:t>
      </w:r>
      <w:r>
        <w:rPr>
          <w:rFonts w:ascii="宋体" w:hAnsi="宋体" w:cs="宋体"/>
          <w:color w:val="000000" w:themeColor="text1"/>
          <w:sz w:val="24"/>
          <w14:textFill>
            <w14:solidFill>
              <w14:schemeClr w14:val="tx1"/>
            </w14:solidFill>
          </w14:textFill>
        </w:rPr>
        <w:t>的</w:t>
      </w:r>
      <w:r>
        <w:rPr>
          <w:rFonts w:ascii="宋体" w:hAnsi="宋体" w:cs="宋体"/>
          <w:color w:val="000000" w:themeColor="text1"/>
          <w:sz w:val="24"/>
          <w:u w:val="single"/>
          <w14:textFill>
            <w14:solidFill>
              <w14:schemeClr w14:val="tx1"/>
            </w14:solidFill>
          </w14:textFill>
        </w:rPr>
        <w:t>（项目名称）</w:t>
      </w:r>
      <w:r>
        <w:rPr>
          <w:rFonts w:ascii="宋体" w:hAnsi="宋体" w:cs="宋体"/>
          <w:color w:val="000000" w:themeColor="text1"/>
          <w:sz w:val="24"/>
          <w14:textFill>
            <w14:solidFill>
              <w14:schemeClr w14:val="tx1"/>
            </w14:solidFill>
          </w14:textFill>
        </w:rPr>
        <w:t>采购活动，提供的货物全部由符合政策要求的中小企业制造。相关企业 （含联合体中的中小企业、签订分包意向协议的中小企业） 的具体情况如下：</w:t>
      </w:r>
    </w:p>
    <w:p w14:paraId="7D0019DC">
      <w:pPr>
        <w:numPr>
          <w:ilvl w:val="0"/>
          <w:numId w:val="10"/>
        </w:numPr>
        <w:spacing w:line="560" w:lineRule="exact"/>
        <w:ind w:left="0" w:firstLine="600" w:firstLineChars="2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u w:val="single"/>
          <w14:textFill>
            <w14:solidFill>
              <w14:schemeClr w14:val="tx1"/>
            </w14:solidFill>
          </w14:textFill>
        </w:rPr>
        <w:t>（标的名称）</w:t>
      </w:r>
      <w:r>
        <w:rPr>
          <w:rFonts w:ascii="宋体" w:hAnsi="宋体" w:cs="宋体"/>
          <w:color w:val="000000" w:themeColor="text1"/>
          <w:sz w:val="24"/>
          <w14:textFill>
            <w14:solidFill>
              <w14:schemeClr w14:val="tx1"/>
            </w14:solidFill>
          </w14:textFill>
        </w:rPr>
        <w:t xml:space="preserve"> ，属于</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行业；制造商为</w:t>
      </w:r>
      <w:r>
        <w:rPr>
          <w:rFonts w:ascii="宋体" w:hAnsi="宋体" w:cs="宋体"/>
          <w:color w:val="000000" w:themeColor="text1"/>
          <w:sz w:val="24"/>
          <w:u w:val="single"/>
          <w14:textFill>
            <w14:solidFill>
              <w14:schemeClr w14:val="tx1"/>
            </w14:solidFill>
          </w14:textFill>
        </w:rPr>
        <w:t>（企业名称）</w:t>
      </w:r>
      <w:r>
        <w:rPr>
          <w:rFonts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万元 ，属于</w:t>
      </w:r>
      <w:r>
        <w:rPr>
          <w:rFonts w:ascii="宋体" w:hAnsi="宋体" w:cs="宋体"/>
          <w:color w:val="000000" w:themeColor="text1"/>
          <w:sz w:val="24"/>
          <w:u w:val="single"/>
          <w14:textFill>
            <w14:solidFill>
              <w14:schemeClr w14:val="tx1"/>
            </w14:solidFill>
          </w14:textFill>
        </w:rPr>
        <w:t>（中型企业、小型企业、微型企业）</w:t>
      </w:r>
      <w:r>
        <w:rPr>
          <w:rFonts w:ascii="宋体" w:hAnsi="宋体" w:cs="宋体"/>
          <w:color w:val="000000" w:themeColor="text1"/>
          <w:sz w:val="24"/>
          <w14:textFill>
            <w14:solidFill>
              <w14:schemeClr w14:val="tx1"/>
            </w14:solidFill>
          </w14:textFill>
        </w:rPr>
        <w:t>；</w:t>
      </w:r>
    </w:p>
    <w:p w14:paraId="35AA9452">
      <w:pPr>
        <w:numPr>
          <w:ilvl w:val="0"/>
          <w:numId w:val="10"/>
        </w:numPr>
        <w:spacing w:line="560" w:lineRule="exact"/>
        <w:ind w:left="0" w:firstLine="600" w:firstLineChars="2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u w:val="single"/>
          <w14:textFill>
            <w14:solidFill>
              <w14:schemeClr w14:val="tx1"/>
            </w14:solidFill>
          </w14:textFill>
        </w:rPr>
        <w:t xml:space="preserve">（标的名称） </w:t>
      </w:r>
      <w:r>
        <w:rPr>
          <w:rFonts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行业；制造商为</w:t>
      </w:r>
      <w:r>
        <w:rPr>
          <w:rFonts w:ascii="宋体" w:hAnsi="宋体" w:cs="宋体"/>
          <w:color w:val="000000" w:themeColor="text1"/>
          <w:sz w:val="24"/>
          <w:u w:val="single"/>
          <w14:textFill>
            <w14:solidFill>
              <w14:schemeClr w14:val="tx1"/>
            </w14:solidFill>
          </w14:textFill>
        </w:rPr>
        <w:t>（企业名称）</w:t>
      </w:r>
      <w:r>
        <w:rPr>
          <w:rFonts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万元，属于</w:t>
      </w:r>
      <w:r>
        <w:rPr>
          <w:rFonts w:ascii="宋体" w:hAnsi="宋体" w:cs="宋体"/>
          <w:color w:val="000000" w:themeColor="text1"/>
          <w:sz w:val="24"/>
          <w:u w:val="single"/>
          <w14:textFill>
            <w14:solidFill>
              <w14:schemeClr w14:val="tx1"/>
            </w14:solidFill>
          </w14:textFill>
        </w:rPr>
        <w:t>（中型企业、小型企业、微型企业）</w:t>
      </w:r>
      <w:r>
        <w:rPr>
          <w:rFonts w:ascii="宋体" w:hAnsi="宋体" w:cs="宋体"/>
          <w:color w:val="000000" w:themeColor="text1"/>
          <w:sz w:val="24"/>
          <w14:textFill>
            <w14:solidFill>
              <w14:schemeClr w14:val="tx1"/>
            </w14:solidFill>
          </w14:textFill>
        </w:rPr>
        <w:t>；</w:t>
      </w:r>
    </w:p>
    <w:p w14:paraId="6968D0E7">
      <w:pPr>
        <w:spacing w:line="560" w:lineRule="exact"/>
        <w:ind w:left="525" w:leftChars="2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 </w:t>
      </w:r>
    </w:p>
    <w:p w14:paraId="168603E3">
      <w:pPr>
        <w:spacing w:line="560" w:lineRule="exact"/>
        <w:ind w:left="5" w:firstLine="518" w:firstLineChars="216"/>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以上企业，不属于大企业的分支机构，不存在控股股东 为大企业的情形，也不存在与大企业的负责人为同一人的情形。 </w:t>
      </w:r>
    </w:p>
    <w:p w14:paraId="7FCC9BC2">
      <w:pPr>
        <w:spacing w:line="560" w:lineRule="exact"/>
        <w:ind w:left="5" w:firstLine="518" w:firstLineChars="216"/>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本企业对上述声明内容的真实性负责。如有虚假，将依 法承担相应责任。 </w:t>
      </w:r>
    </w:p>
    <w:p w14:paraId="1894664D">
      <w:pPr>
        <w:spacing w:line="560" w:lineRule="exact"/>
        <w:jc w:val="righ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企业名称（盖章）：</w:t>
      </w:r>
    </w:p>
    <w:p w14:paraId="5904B1EE">
      <w:pPr>
        <w:spacing w:line="560" w:lineRule="exact"/>
        <w:ind w:left="5" w:firstLine="518" w:firstLineChars="216"/>
        <w:jc w:val="righ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日 期： </w:t>
      </w:r>
    </w:p>
    <w:p w14:paraId="75E78718">
      <w:pPr>
        <w:spacing w:line="560" w:lineRule="exact"/>
        <w:ind w:left="5" w:firstLine="518" w:firstLineChars="21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w:t>
      </w:r>
      <w:r>
        <w:rPr>
          <w:rFonts w:ascii="宋体" w:hAnsi="宋体" w:cs="宋体"/>
          <w:color w:val="000000" w:themeColor="text1"/>
          <w:sz w:val="24"/>
          <w14:textFill>
            <w14:solidFill>
              <w14:schemeClr w14:val="tx1"/>
            </w14:solidFill>
          </w14:textFill>
        </w:rPr>
        <w:t>从业人员、营业收入、资产总额填报上一年度数据，无上一年度数据的新成立企业可不填报。</w:t>
      </w:r>
    </w:p>
    <w:p w14:paraId="151A703C">
      <w:pPr>
        <w:pStyle w:val="28"/>
        <w:ind w:firstLine="480"/>
        <w:rPr>
          <w:rFonts w:ascii="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2、供应商提供的声明函将在中标后随中标公告一并公示，若声明函内容不实的，将依照《政府采购法》等国家有关规定追究相应责任。</w:t>
      </w:r>
      <w:bookmarkStart w:id="41" w:name="_Toc12390"/>
      <w:bookmarkStart w:id="42" w:name="_Toc309736882"/>
      <w:bookmarkStart w:id="43" w:name="_Toc352061202"/>
    </w:p>
    <w:bookmarkEnd w:id="41"/>
    <w:bookmarkEnd w:id="42"/>
    <w:bookmarkEnd w:id="43"/>
    <w:p w14:paraId="084B7C1B">
      <w:pPr>
        <w:widowControl/>
        <w:tabs>
          <w:tab w:val="left" w:pos="735"/>
        </w:tabs>
        <w:spacing w:line="360" w:lineRule="auto"/>
        <w:rPr>
          <w:rFonts w:ascii="宋体" w:hAnsi="宋体"/>
          <w:b/>
          <w:color w:val="000000" w:themeColor="text1"/>
          <w:sz w:val="28"/>
          <w:szCs w:val="28"/>
          <w14:textFill>
            <w14:solidFill>
              <w14:schemeClr w14:val="tx1"/>
            </w14:solidFill>
          </w14:textFill>
        </w:rPr>
      </w:pPr>
    </w:p>
    <w:p w14:paraId="70A8478B">
      <w:pPr>
        <w:pStyle w:val="47"/>
        <w:framePr w:wrap="around"/>
        <w:rPr>
          <w:rFonts w:ascii="宋体" w:hAnsi="宋体"/>
          <w:b/>
          <w:color w:val="000000" w:themeColor="text1"/>
          <w:sz w:val="28"/>
          <w:szCs w:val="28"/>
          <w14:textFill>
            <w14:solidFill>
              <w14:schemeClr w14:val="tx1"/>
            </w14:solidFill>
          </w14:textFill>
        </w:rPr>
      </w:pPr>
    </w:p>
    <w:p w14:paraId="4DD9F321">
      <w:pPr>
        <w:pStyle w:val="12"/>
        <w:ind w:firstLine="420"/>
        <w:rPr>
          <w:color w:val="000000" w:themeColor="text1"/>
          <w14:textFill>
            <w14:solidFill>
              <w14:schemeClr w14:val="tx1"/>
            </w14:solidFill>
          </w14:textFill>
        </w:rPr>
      </w:pPr>
    </w:p>
    <w:p w14:paraId="6597FEC1">
      <w:pPr>
        <w:widowControl/>
        <w:tabs>
          <w:tab w:val="left" w:pos="735"/>
        </w:tabs>
        <w:spacing w:line="360" w:lineRule="auto"/>
        <w:rPr>
          <w:rFonts w:ascii="宋体" w:hAnsi="宋体"/>
          <w:color w:val="000000" w:themeColor="text1"/>
          <w:kern w:val="0"/>
          <w:sz w:val="2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附件9：</w:t>
      </w:r>
    </w:p>
    <w:p w14:paraId="1B41DB29">
      <w:pPr>
        <w:spacing w:line="360" w:lineRule="auto"/>
        <w:ind w:firstLine="562" w:firstLineChars="200"/>
        <w:jc w:val="center"/>
        <w:rPr>
          <w:b/>
          <w:bCs/>
          <w:color w:val="000000" w:themeColor="text1"/>
          <w:sz w:val="28"/>
          <w:szCs w:val="28"/>
          <w14:textFill>
            <w14:solidFill>
              <w14:schemeClr w14:val="tx1"/>
            </w14:solidFill>
          </w14:textFill>
        </w:rPr>
      </w:pPr>
      <w:bookmarkStart w:id="44" w:name="_Toc14292"/>
      <w:bookmarkStart w:id="45" w:name="_Toc30170"/>
    </w:p>
    <w:p w14:paraId="15CDE00B">
      <w:pPr>
        <w:spacing w:line="360" w:lineRule="exact"/>
        <w:jc w:val="center"/>
        <w:textAlignment w:val="baseline"/>
        <w:rPr>
          <w:rFonts w:ascii="宋体" w:hAnsi="宋体"/>
          <w:b/>
          <w:spacing w:val="6"/>
          <w:sz w:val="24"/>
        </w:rPr>
      </w:pPr>
      <w:r>
        <w:rPr>
          <w:rFonts w:hint="eastAsia" w:cs="宋体"/>
          <w:b/>
          <w:sz w:val="24"/>
        </w:rPr>
        <w:t>残疾人福利性单位声明函（如有）</w:t>
      </w:r>
    </w:p>
    <w:p w14:paraId="3EB21367">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w:t>
      </w:r>
      <w:r>
        <w:rPr>
          <w:rFonts w:hint="eastAsia" w:ascii="宋体" w:hAnsi="宋体"/>
          <w:spacing w:val="6"/>
          <w:sz w:val="24"/>
          <w:u w:val="single"/>
        </w:rPr>
        <w:t xml:space="preserve">                   </w:t>
      </w:r>
      <w:r>
        <w:rPr>
          <w:rFonts w:hint="eastAsia" w:ascii="宋体" w:hAnsi="宋体"/>
          <w:spacing w:val="6"/>
          <w:sz w:val="24"/>
        </w:rPr>
        <w:t>单位的</w:t>
      </w:r>
      <w:r>
        <w:rPr>
          <w:rFonts w:hint="eastAsia" w:ascii="宋体" w:hAnsi="宋体"/>
          <w:spacing w:val="6"/>
          <w:sz w:val="24"/>
          <w:u w:val="single"/>
        </w:rPr>
        <w:t xml:space="preserve">                      </w:t>
      </w:r>
      <w:r>
        <w:rPr>
          <w:rFonts w:hint="eastAsia" w:ascii="宋体" w:hAnsi="宋体"/>
          <w:spacing w:val="6"/>
          <w:sz w:val="24"/>
        </w:rPr>
        <w:t>项目采购活动提供本单位的服务，或者提供其他残疾人福利性单位的服务。</w:t>
      </w:r>
    </w:p>
    <w:p w14:paraId="39045F66">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4F57F827">
      <w:pPr>
        <w:spacing w:line="588" w:lineRule="exact"/>
        <w:ind w:firstLine="504" w:firstLineChars="200"/>
        <w:rPr>
          <w:rFonts w:ascii="宋体" w:hAnsi="宋体"/>
          <w:spacing w:val="6"/>
          <w:sz w:val="24"/>
        </w:rPr>
      </w:pPr>
    </w:p>
    <w:p w14:paraId="4F0C32EF">
      <w:pPr>
        <w:spacing w:line="588" w:lineRule="exact"/>
        <w:ind w:firstLine="504" w:firstLineChars="200"/>
        <w:rPr>
          <w:rFonts w:ascii="宋体" w:hAnsi="宋体"/>
          <w:spacing w:val="6"/>
          <w:sz w:val="24"/>
        </w:rPr>
      </w:pPr>
    </w:p>
    <w:p w14:paraId="170EFD83">
      <w:pPr>
        <w:spacing w:line="360" w:lineRule="auto"/>
        <w:rPr>
          <w:rFonts w:ascii="宋体" w:hAnsi="宋体"/>
          <w:sz w:val="24"/>
          <w:u w:val="single"/>
        </w:rPr>
      </w:pPr>
      <w:r>
        <w:rPr>
          <w:rFonts w:hint="eastAsia" w:ascii="宋体" w:hAnsi="宋体"/>
          <w:spacing w:val="6"/>
          <w:sz w:val="24"/>
        </w:rPr>
        <w:t xml:space="preserve">               </w:t>
      </w:r>
      <w:r>
        <w:rPr>
          <w:rFonts w:hint="eastAsia" w:ascii="宋体" w:hAnsi="宋体"/>
          <w:sz w:val="24"/>
        </w:rPr>
        <w:t xml:space="preserve">  供应商名称</w:t>
      </w:r>
      <w:r>
        <w:rPr>
          <w:rFonts w:hint="eastAsia" w:ascii="宋体" w:hAnsi="宋体" w:cs="宋体"/>
          <w:sz w:val="24"/>
        </w:rPr>
        <w:t>：</w:t>
      </w:r>
      <w:r>
        <w:rPr>
          <w:rFonts w:hint="eastAsia" w:ascii="宋体" w:hAnsi="宋体"/>
          <w:sz w:val="24"/>
          <w:u w:val="single"/>
        </w:rPr>
        <w:t xml:space="preserve">                        </w:t>
      </w:r>
      <w:r>
        <w:rPr>
          <w:rFonts w:hint="eastAsia" w:ascii="宋体" w:hAnsi="宋体"/>
          <w:sz w:val="24"/>
        </w:rPr>
        <w:t>（单位盖章）</w:t>
      </w:r>
    </w:p>
    <w:p w14:paraId="0FE1288D">
      <w:pPr>
        <w:spacing w:line="360" w:lineRule="auto"/>
        <w:ind w:firstLine="4440" w:firstLineChars="1850"/>
        <w:rPr>
          <w:b/>
          <w:bCs/>
          <w:sz w:val="22"/>
          <w:szCs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1DC6CBD">
      <w:pPr>
        <w:tabs>
          <w:tab w:val="left" w:pos="4860"/>
        </w:tabs>
        <w:spacing w:line="588" w:lineRule="exact"/>
        <w:ind w:right="1560" w:firstLine="504" w:firstLineChars="200"/>
        <w:jc w:val="center"/>
        <w:rPr>
          <w:rFonts w:ascii="宋体" w:hAnsi="宋体"/>
          <w:spacing w:val="6"/>
          <w:sz w:val="24"/>
        </w:rPr>
      </w:pPr>
    </w:p>
    <w:p w14:paraId="22CB23AE">
      <w:pPr>
        <w:pStyle w:val="24"/>
        <w:widowControl w:val="0"/>
        <w:spacing w:before="0" w:beforeAutospacing="0" w:after="0" w:afterAutospacing="0" w:line="546" w:lineRule="exact"/>
        <w:jc w:val="both"/>
        <w:rPr>
          <w:rFonts w:cs="Times New Roman"/>
          <w:kern w:val="2"/>
        </w:rPr>
      </w:pPr>
    </w:p>
    <w:p w14:paraId="3220DE31">
      <w:pPr>
        <w:pStyle w:val="24"/>
        <w:widowControl w:val="0"/>
        <w:spacing w:before="0" w:beforeAutospacing="0" w:after="0" w:afterAutospacing="0" w:line="546" w:lineRule="exact"/>
        <w:ind w:firstLine="480" w:firstLineChars="200"/>
        <w:jc w:val="both"/>
        <w:rPr>
          <w:rFonts w:cs="Times New Roman"/>
          <w:kern w:val="2"/>
        </w:rPr>
      </w:pPr>
      <w:r>
        <w:rPr>
          <w:rFonts w:hint="eastAsia" w:cs="Times New Roman"/>
          <w:kern w:val="2"/>
        </w:rPr>
        <w:t>注：根据企业自身情况，填写此表；</w:t>
      </w:r>
    </w:p>
    <w:p w14:paraId="3D86F8A2">
      <w:pPr>
        <w:spacing w:line="360" w:lineRule="exact"/>
        <w:jc w:val="both"/>
        <w:textAlignment w:val="baseline"/>
        <w:rPr>
          <w:rFonts w:hint="eastAsia" w:ascii="宋体" w:hAnsi="宋体"/>
          <w:b/>
          <w:color w:val="auto"/>
          <w:sz w:val="28"/>
          <w:szCs w:val="28"/>
          <w:highlight w:val="none"/>
        </w:rPr>
      </w:pPr>
      <w:r>
        <w:rPr>
          <w:rFonts w:hint="eastAsia"/>
        </w:rPr>
        <w:br w:type="page"/>
      </w:r>
      <w:r>
        <w:rPr>
          <w:rFonts w:hint="eastAsia" w:ascii="宋体" w:hAnsi="宋体"/>
          <w:b/>
          <w:color w:val="auto"/>
          <w:sz w:val="28"/>
          <w:szCs w:val="28"/>
          <w:highlight w:val="none"/>
        </w:rPr>
        <w:t>附件10：</w:t>
      </w:r>
    </w:p>
    <w:p w14:paraId="49A550FF">
      <w:pPr>
        <w:spacing w:line="360" w:lineRule="exact"/>
        <w:ind w:firstLine="3132" w:firstLineChars="1300"/>
        <w:jc w:val="both"/>
        <w:textAlignment w:val="baseline"/>
        <w:rPr>
          <w:rFonts w:ascii="宋体" w:hAnsi="宋体"/>
          <w:b/>
          <w:spacing w:val="6"/>
          <w:sz w:val="24"/>
        </w:rPr>
      </w:pPr>
      <w:r>
        <w:rPr>
          <w:rFonts w:hint="eastAsia" w:cs="宋体"/>
          <w:b/>
          <w:sz w:val="24"/>
        </w:rPr>
        <w:t>监狱企业声明函（如有）</w:t>
      </w:r>
    </w:p>
    <w:p w14:paraId="355C1750">
      <w:pPr>
        <w:spacing w:line="588" w:lineRule="exact"/>
        <w:ind w:firstLine="504" w:firstLineChars="200"/>
        <w:rPr>
          <w:rFonts w:ascii="宋体" w:hAnsi="宋体"/>
          <w:spacing w:val="6"/>
          <w:sz w:val="24"/>
        </w:rPr>
      </w:pPr>
      <w:r>
        <w:rPr>
          <w:rFonts w:hint="eastAsia" w:ascii="宋体" w:hAnsi="宋体"/>
          <w:spacing w:val="6"/>
          <w:sz w:val="24"/>
        </w:rPr>
        <w:t>本单位郑重声明，根据财政部司法部《关于政府采购支持监狱企业发展有关问题的通知》（财库〔2014〕68号）的规定，本单位为符合条件的监狱企业，且本单位参加</w:t>
      </w:r>
      <w:r>
        <w:rPr>
          <w:rFonts w:hint="eastAsia" w:ascii="宋体" w:hAnsi="宋体"/>
          <w:spacing w:val="6"/>
          <w:sz w:val="24"/>
          <w:u w:val="single"/>
        </w:rPr>
        <w:t xml:space="preserve">         </w:t>
      </w:r>
      <w:r>
        <w:rPr>
          <w:rFonts w:hint="eastAsia" w:ascii="宋体" w:hAnsi="宋体"/>
          <w:spacing w:val="6"/>
          <w:sz w:val="24"/>
        </w:rPr>
        <w:t>单位的</w:t>
      </w:r>
      <w:r>
        <w:rPr>
          <w:rFonts w:hint="eastAsia" w:ascii="宋体" w:hAnsi="宋体"/>
          <w:spacing w:val="6"/>
          <w:sz w:val="24"/>
          <w:u w:val="single"/>
        </w:rPr>
        <w:t xml:space="preserve">       </w:t>
      </w:r>
      <w:r>
        <w:rPr>
          <w:rFonts w:hint="eastAsia" w:ascii="宋体" w:hAnsi="宋体"/>
          <w:spacing w:val="6"/>
          <w:sz w:val="24"/>
        </w:rPr>
        <w:t>项目采购活动提供本单位的服务，或者提供其他残疾人福利性单位的服务。</w:t>
      </w:r>
    </w:p>
    <w:p w14:paraId="0A6BEF81">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631CE1F6">
      <w:pPr>
        <w:spacing w:line="588" w:lineRule="exact"/>
        <w:ind w:firstLine="504" w:firstLineChars="200"/>
        <w:rPr>
          <w:rFonts w:ascii="宋体" w:hAnsi="宋体"/>
          <w:spacing w:val="6"/>
          <w:sz w:val="24"/>
        </w:rPr>
      </w:pPr>
    </w:p>
    <w:p w14:paraId="708649F2">
      <w:pPr>
        <w:spacing w:line="588" w:lineRule="exact"/>
        <w:ind w:firstLine="504" w:firstLineChars="200"/>
        <w:rPr>
          <w:rFonts w:ascii="宋体" w:hAnsi="宋体"/>
          <w:spacing w:val="6"/>
          <w:sz w:val="24"/>
        </w:rPr>
      </w:pPr>
    </w:p>
    <w:p w14:paraId="4E686741">
      <w:pPr>
        <w:spacing w:line="360" w:lineRule="auto"/>
        <w:rPr>
          <w:rFonts w:ascii="宋体" w:hAnsi="宋体"/>
          <w:sz w:val="24"/>
          <w:u w:val="single"/>
        </w:rPr>
      </w:pPr>
      <w:r>
        <w:rPr>
          <w:rFonts w:hint="eastAsia" w:ascii="宋体" w:hAnsi="宋体"/>
          <w:spacing w:val="6"/>
          <w:sz w:val="24"/>
        </w:rPr>
        <w:t xml:space="preserve">               </w:t>
      </w:r>
      <w:r>
        <w:rPr>
          <w:rFonts w:hint="eastAsia" w:ascii="宋体" w:hAnsi="宋体"/>
          <w:sz w:val="24"/>
        </w:rPr>
        <w:t xml:space="preserve">  供应商名称</w:t>
      </w:r>
      <w:r>
        <w:rPr>
          <w:rFonts w:hint="eastAsia" w:ascii="宋体" w:hAnsi="宋体" w:cs="宋体"/>
          <w:sz w:val="24"/>
        </w:rPr>
        <w:t>：</w:t>
      </w:r>
      <w:r>
        <w:rPr>
          <w:rFonts w:hint="eastAsia" w:ascii="宋体" w:hAnsi="宋体"/>
          <w:sz w:val="24"/>
          <w:u w:val="single"/>
        </w:rPr>
        <w:t xml:space="preserve">                        </w:t>
      </w:r>
      <w:r>
        <w:rPr>
          <w:rFonts w:hint="eastAsia" w:ascii="宋体" w:hAnsi="宋体"/>
          <w:sz w:val="24"/>
        </w:rPr>
        <w:t>（单位盖章）</w:t>
      </w:r>
    </w:p>
    <w:p w14:paraId="11F89B85">
      <w:pPr>
        <w:spacing w:line="360" w:lineRule="auto"/>
        <w:ind w:firstLine="4440" w:firstLineChars="1850"/>
        <w:rPr>
          <w:b/>
          <w:bCs/>
          <w:sz w:val="22"/>
          <w:szCs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4905062">
      <w:pPr>
        <w:tabs>
          <w:tab w:val="left" w:pos="4860"/>
        </w:tabs>
        <w:spacing w:line="588" w:lineRule="exact"/>
        <w:ind w:right="1560" w:firstLine="504" w:firstLineChars="200"/>
        <w:jc w:val="center"/>
        <w:rPr>
          <w:rFonts w:ascii="宋体" w:hAnsi="宋体"/>
          <w:spacing w:val="6"/>
          <w:sz w:val="24"/>
        </w:rPr>
      </w:pPr>
    </w:p>
    <w:p w14:paraId="1BCF7C90">
      <w:pPr>
        <w:pStyle w:val="24"/>
        <w:widowControl w:val="0"/>
        <w:spacing w:before="0" w:beforeAutospacing="0" w:after="0" w:afterAutospacing="0" w:line="546" w:lineRule="exact"/>
        <w:jc w:val="both"/>
        <w:rPr>
          <w:rFonts w:cs="Times New Roman"/>
          <w:kern w:val="2"/>
        </w:rPr>
      </w:pPr>
    </w:p>
    <w:p w14:paraId="4719669D">
      <w:pPr>
        <w:pStyle w:val="24"/>
        <w:widowControl w:val="0"/>
        <w:spacing w:before="0" w:beforeAutospacing="0" w:after="0" w:afterAutospacing="0" w:line="546" w:lineRule="exact"/>
        <w:ind w:firstLine="480" w:firstLineChars="200"/>
        <w:jc w:val="both"/>
        <w:rPr>
          <w:rFonts w:cs="Times New Roman"/>
          <w:kern w:val="2"/>
        </w:rPr>
      </w:pPr>
      <w:r>
        <w:rPr>
          <w:rFonts w:hint="eastAsia" w:cs="Times New Roman"/>
          <w:kern w:val="2"/>
        </w:rPr>
        <w:t>注：根据企业自身情况，填写此表；</w:t>
      </w:r>
    </w:p>
    <w:p w14:paraId="4EBBE2B6">
      <w:pPr>
        <w:spacing w:line="360" w:lineRule="auto"/>
        <w:ind w:firstLine="562" w:firstLineChars="200"/>
        <w:jc w:val="center"/>
        <w:rPr>
          <w:b/>
          <w:bCs/>
          <w:color w:val="000000" w:themeColor="text1"/>
          <w:sz w:val="28"/>
          <w:szCs w:val="28"/>
          <w14:textFill>
            <w14:solidFill>
              <w14:schemeClr w14:val="tx1"/>
            </w14:solidFill>
          </w14:textFill>
        </w:rPr>
      </w:pPr>
    </w:p>
    <w:bookmarkEnd w:id="44"/>
    <w:bookmarkEnd w:id="45"/>
    <w:p w14:paraId="2401F88F">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5496759E">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7E2B716D">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4F69817B">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492842AF">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76CE2700">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430CBB95">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5F0BAD4A">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391CD275">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3E909CD4">
      <w:pPr>
        <w:widowControl/>
        <w:tabs>
          <w:tab w:val="left" w:pos="735"/>
        </w:tabs>
        <w:spacing w:line="360" w:lineRule="auto"/>
        <w:rPr>
          <w:b/>
          <w:color w:val="auto"/>
          <w:sz w:val="32"/>
          <w:szCs w:val="32"/>
          <w:highlight w:val="none"/>
        </w:rPr>
      </w:pPr>
      <w:r>
        <w:rPr>
          <w:rFonts w:hint="eastAsia" w:ascii="宋体" w:hAnsi="宋体"/>
          <w:b/>
          <w:color w:val="auto"/>
          <w:sz w:val="28"/>
          <w:szCs w:val="28"/>
          <w:highlight w:val="none"/>
        </w:rPr>
        <w:t>附件1</w:t>
      </w:r>
      <w:r>
        <w:rPr>
          <w:rFonts w:hint="eastAsia" w:ascii="宋体" w:hAnsi="宋体"/>
          <w:b/>
          <w:color w:val="auto"/>
          <w:sz w:val="28"/>
          <w:szCs w:val="28"/>
          <w:highlight w:val="none"/>
          <w:lang w:val="en-US" w:eastAsia="zh-CN"/>
        </w:rPr>
        <w:t>1</w:t>
      </w:r>
      <w:r>
        <w:rPr>
          <w:rFonts w:hint="eastAsia" w:ascii="宋体" w:hAnsi="宋体"/>
          <w:b/>
          <w:color w:val="auto"/>
          <w:sz w:val="28"/>
          <w:szCs w:val="28"/>
          <w:highlight w:val="none"/>
        </w:rPr>
        <w:t>：</w:t>
      </w:r>
    </w:p>
    <w:p w14:paraId="5E73BCD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0"/>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shd w:val="clear" w:color="auto" w:fill="FFFFFF"/>
        </w:rPr>
        <w:t>关于符合本国产品标准的声明函</w:t>
      </w:r>
    </w:p>
    <w:p w14:paraId="5AE90C0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Cs w:val="21"/>
          <w:highlight w:val="none"/>
        </w:rPr>
      </w:pPr>
    </w:p>
    <w:p w14:paraId="41DAAF8A">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6E987F8">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1.</w:t>
      </w:r>
      <w:r>
        <w:rPr>
          <w:rFonts w:hint="eastAsia" w:ascii="宋体" w:hAnsi="宋体" w:cs="宋体"/>
          <w:color w:val="auto"/>
          <w:kern w:val="0"/>
          <w:sz w:val="24"/>
          <w:szCs w:val="24"/>
          <w:highlight w:val="none"/>
          <w:u w:val="single"/>
          <w:shd w:val="clear" w:color="auto" w:fill="FFFFFF"/>
        </w:rPr>
        <w:t>（产品名称1）</w:t>
      </w:r>
      <w:r>
        <w:rPr>
          <w:rFonts w:hint="eastAsia" w:ascii="宋体" w:hAnsi="宋体" w:cs="宋体"/>
          <w:color w:val="auto"/>
          <w:kern w:val="0"/>
          <w:sz w:val="24"/>
          <w:szCs w:val="24"/>
          <w:highlight w:val="none"/>
          <w:u w:val="single"/>
          <w:shd w:val="clear" w:color="auto" w:fill="FFFFFF"/>
          <w:vertAlign w:val="superscript"/>
        </w:rPr>
        <w:t>1</w:t>
      </w:r>
      <w:r>
        <w:rPr>
          <w:rFonts w:hint="eastAsia" w:ascii="宋体" w:hAnsi="宋体" w:cs="宋体"/>
          <w:color w:val="auto"/>
          <w:kern w:val="0"/>
          <w:sz w:val="24"/>
          <w:szCs w:val="24"/>
          <w:highlight w:val="none"/>
          <w:shd w:val="clear" w:color="auto" w:fill="FFFFFF"/>
        </w:rPr>
        <w:t>，生产厂为</w:t>
      </w:r>
      <w:r>
        <w:rPr>
          <w:rFonts w:hint="eastAsia" w:ascii="宋体" w:hAnsi="宋体" w:cs="宋体"/>
          <w:color w:val="auto"/>
          <w:kern w:val="0"/>
          <w:sz w:val="24"/>
          <w:szCs w:val="24"/>
          <w:highlight w:val="none"/>
          <w:u w:val="single"/>
          <w:shd w:val="clear" w:color="auto" w:fill="FFFFFF"/>
        </w:rPr>
        <w:t>（厂名）</w:t>
      </w:r>
      <w:r>
        <w:rPr>
          <w:rFonts w:hint="eastAsia" w:ascii="宋体" w:hAnsi="宋体" w:cs="宋体"/>
          <w:color w:val="auto"/>
          <w:kern w:val="0"/>
          <w:sz w:val="24"/>
          <w:szCs w:val="24"/>
          <w:highlight w:val="none"/>
          <w:shd w:val="clear" w:color="auto" w:fill="FFFFFF"/>
          <w:vertAlign w:val="superscript"/>
        </w:rPr>
        <w:t>2</w:t>
      </w:r>
      <w:r>
        <w:rPr>
          <w:rFonts w:hint="eastAsia" w:ascii="宋体" w:hAnsi="宋体" w:cs="宋体"/>
          <w:color w:val="auto"/>
          <w:kern w:val="0"/>
          <w:sz w:val="24"/>
          <w:szCs w:val="24"/>
          <w:highlight w:val="none"/>
          <w:shd w:val="clear" w:color="auto" w:fill="FFFFFF"/>
        </w:rPr>
        <w:t>，厂址为</w:t>
      </w:r>
      <w:r>
        <w:rPr>
          <w:rFonts w:hint="eastAsia" w:ascii="宋体" w:hAnsi="宋体" w:cs="宋体"/>
          <w:color w:val="auto"/>
          <w:kern w:val="0"/>
          <w:sz w:val="24"/>
          <w:szCs w:val="24"/>
          <w:highlight w:val="none"/>
          <w:u w:val="single"/>
          <w:shd w:val="clear" w:color="auto" w:fill="FFFFFF"/>
        </w:rPr>
        <w:t>（生产厂址）</w:t>
      </w: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sz w:val="24"/>
          <w:szCs w:val="24"/>
          <w:highlight w:val="none"/>
          <w:u w:val="single"/>
          <w:shd w:val="clear" w:color="auto" w:fill="FFFFFF"/>
        </w:rPr>
        <w:t>（产品名称1）</w:t>
      </w:r>
      <w:r>
        <w:rPr>
          <w:rFonts w:hint="eastAsia" w:ascii="宋体" w:hAnsi="宋体" w:cs="宋体"/>
          <w:color w:val="auto"/>
          <w:kern w:val="0"/>
          <w:sz w:val="24"/>
          <w:szCs w:val="24"/>
          <w:highlight w:val="none"/>
          <w:shd w:val="clear" w:color="auto" w:fill="FFFFFF"/>
        </w:rPr>
        <w:t>的中国境内生产的组件成本占比≥（规定比例）</w:t>
      </w:r>
      <w:r>
        <w:rPr>
          <w:rFonts w:hint="eastAsia" w:ascii="宋体" w:hAnsi="宋体" w:cs="宋体"/>
          <w:color w:val="auto"/>
          <w:kern w:val="0"/>
          <w:sz w:val="24"/>
          <w:szCs w:val="24"/>
          <w:highlight w:val="none"/>
          <w:shd w:val="clear" w:color="auto" w:fill="FFFFFF"/>
          <w:vertAlign w:val="superscript"/>
        </w:rPr>
        <w:t>3</w:t>
      </w:r>
      <w:r>
        <w:rPr>
          <w:rFonts w:hint="eastAsia" w:ascii="宋体" w:hAnsi="宋体" w:cs="宋体"/>
          <w:color w:val="auto"/>
          <w:kern w:val="0"/>
          <w:sz w:val="24"/>
          <w:szCs w:val="24"/>
          <w:highlight w:val="none"/>
          <w:shd w:val="clear" w:color="auto" w:fill="FFFFFF"/>
        </w:rPr>
        <w:t>。（产品名称1）的（关键组件）</w:t>
      </w:r>
      <w:r>
        <w:rPr>
          <w:rFonts w:hint="eastAsia" w:ascii="宋体" w:hAnsi="宋体" w:cs="宋体"/>
          <w:color w:val="auto"/>
          <w:kern w:val="0"/>
          <w:sz w:val="24"/>
          <w:szCs w:val="24"/>
          <w:highlight w:val="none"/>
          <w:shd w:val="clear" w:color="auto" w:fill="FFFFFF"/>
          <w:vertAlign w:val="superscript"/>
        </w:rPr>
        <w:t>4</w:t>
      </w:r>
      <w:r>
        <w:rPr>
          <w:rFonts w:hint="eastAsia" w:ascii="宋体" w:hAnsi="宋体" w:cs="宋体"/>
          <w:color w:val="auto"/>
          <w:kern w:val="0"/>
          <w:sz w:val="24"/>
          <w:szCs w:val="24"/>
          <w:highlight w:val="none"/>
          <w:shd w:val="clear" w:color="auto" w:fill="FFFFFF"/>
        </w:rPr>
        <w:t>在中国境内生产。（产品名称1）的（关键工序）</w:t>
      </w:r>
      <w:r>
        <w:rPr>
          <w:rFonts w:hint="eastAsia" w:ascii="宋体" w:hAnsi="宋体" w:cs="宋体"/>
          <w:color w:val="auto"/>
          <w:kern w:val="0"/>
          <w:sz w:val="24"/>
          <w:szCs w:val="24"/>
          <w:highlight w:val="none"/>
          <w:shd w:val="clear" w:color="auto" w:fill="FFFFFF"/>
          <w:vertAlign w:val="superscript"/>
        </w:rPr>
        <w:t>5</w:t>
      </w:r>
      <w:r>
        <w:rPr>
          <w:rFonts w:hint="eastAsia" w:ascii="宋体" w:hAnsi="宋体" w:cs="宋体"/>
          <w:color w:val="auto"/>
          <w:kern w:val="0"/>
          <w:sz w:val="24"/>
          <w:szCs w:val="24"/>
          <w:highlight w:val="none"/>
          <w:shd w:val="clear" w:color="auto" w:fill="FFFFFF"/>
        </w:rPr>
        <w:t>在中国境内完成。</w:t>
      </w:r>
    </w:p>
    <w:p w14:paraId="0CFBC92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2.</w:t>
      </w:r>
      <w:r>
        <w:rPr>
          <w:rFonts w:hint="eastAsia" w:ascii="宋体" w:hAnsi="宋体" w:cs="宋体"/>
          <w:color w:val="auto"/>
          <w:kern w:val="0"/>
          <w:sz w:val="24"/>
          <w:szCs w:val="24"/>
          <w:highlight w:val="none"/>
          <w:u w:val="single"/>
          <w:shd w:val="clear" w:color="auto" w:fill="FFFFFF"/>
        </w:rPr>
        <w:t>（产品名称2）</w:t>
      </w: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sz w:val="24"/>
          <w:szCs w:val="24"/>
          <w:highlight w:val="none"/>
          <w:u w:val="none"/>
          <w:shd w:val="clear" w:color="auto" w:fill="FFFFFF"/>
        </w:rPr>
        <w:t>生产厂为</w:t>
      </w:r>
      <w:r>
        <w:rPr>
          <w:rFonts w:hint="eastAsia" w:ascii="宋体" w:hAnsi="宋体" w:cs="宋体"/>
          <w:color w:val="auto"/>
          <w:kern w:val="0"/>
          <w:sz w:val="24"/>
          <w:szCs w:val="24"/>
          <w:highlight w:val="none"/>
          <w:u w:val="single"/>
          <w:shd w:val="clear" w:color="auto" w:fill="FFFFFF"/>
        </w:rPr>
        <w:t>（厂名）</w:t>
      </w:r>
      <w:r>
        <w:rPr>
          <w:rFonts w:hint="eastAsia" w:ascii="宋体" w:hAnsi="宋体" w:cs="宋体"/>
          <w:color w:val="auto"/>
          <w:kern w:val="0"/>
          <w:sz w:val="24"/>
          <w:szCs w:val="24"/>
          <w:highlight w:val="none"/>
          <w:shd w:val="clear" w:color="auto" w:fill="FFFFFF"/>
        </w:rPr>
        <w:t>，厂址为</w:t>
      </w:r>
      <w:r>
        <w:rPr>
          <w:rFonts w:hint="eastAsia" w:ascii="宋体" w:hAnsi="宋体" w:cs="宋体"/>
          <w:color w:val="auto"/>
          <w:kern w:val="0"/>
          <w:sz w:val="24"/>
          <w:szCs w:val="24"/>
          <w:highlight w:val="none"/>
          <w:u w:val="single"/>
          <w:shd w:val="clear" w:color="auto" w:fill="FFFFFF"/>
        </w:rPr>
        <w:t>（生产厂址）</w:t>
      </w: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sz w:val="24"/>
          <w:szCs w:val="24"/>
          <w:highlight w:val="none"/>
          <w:u w:val="single"/>
          <w:shd w:val="clear" w:color="auto" w:fill="FFFFFF"/>
        </w:rPr>
        <w:t>（产品名称2）</w:t>
      </w:r>
      <w:r>
        <w:rPr>
          <w:rFonts w:hint="eastAsia" w:ascii="宋体" w:hAnsi="宋体" w:cs="宋体"/>
          <w:color w:val="auto"/>
          <w:kern w:val="0"/>
          <w:sz w:val="24"/>
          <w:szCs w:val="24"/>
          <w:highlight w:val="none"/>
          <w:shd w:val="clear" w:color="auto" w:fill="FFFFFF"/>
        </w:rPr>
        <w:t>的中国境内生产的组件成本占比≥（规定比例）。（产品名称2）的（关键组件）在中国境内生产。（产品名称2）的（关键工序）在中国境内完成。</w:t>
      </w:r>
    </w:p>
    <w:p w14:paraId="452DC5AA">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w:t>
      </w:r>
    </w:p>
    <w:p w14:paraId="2BE16F49">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本公司（单位）对上述声明内容的真实性负责。如有虚假，愿承担相应法律责任。</w:t>
      </w:r>
    </w:p>
    <w:p w14:paraId="5A025CF8">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公司（单位）名称（盖章）：</w:t>
      </w:r>
    </w:p>
    <w:p w14:paraId="7075C58B">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right"/>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日期：     年    月     日</w:t>
      </w:r>
    </w:p>
    <w:p w14:paraId="3D773E9D">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ascii="楷体" w:hAnsi="楷体" w:eastAsia="楷体" w:cs="楷体"/>
          <w:color w:val="auto"/>
          <w:kern w:val="0"/>
          <w:szCs w:val="21"/>
          <w:highlight w:val="none"/>
          <w:shd w:val="clear" w:color="auto" w:fill="FFFFFF"/>
        </w:rPr>
      </w:pPr>
    </w:p>
    <w:p w14:paraId="0C776C9F">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ascii="楷体" w:hAnsi="楷体" w:eastAsia="楷体" w:cs="楷体"/>
          <w:color w:val="auto"/>
          <w:kern w:val="0"/>
          <w:szCs w:val="21"/>
          <w:highlight w:val="none"/>
          <w:shd w:val="clear" w:color="auto" w:fill="FFFFFF"/>
        </w:rPr>
      </w:pPr>
    </w:p>
    <w:p w14:paraId="2F665905">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ascii="楷体" w:hAnsi="楷体" w:eastAsia="楷体" w:cs="楷体"/>
          <w:color w:val="auto"/>
          <w:kern w:val="0"/>
          <w:szCs w:val="21"/>
          <w:highlight w:val="none"/>
          <w:shd w:val="clear" w:color="auto" w:fill="FFFFFF"/>
        </w:rPr>
        <w:t>1.产品如有型号，请在“产品名称”栏一并填写。</w:t>
      </w:r>
    </w:p>
    <w:p w14:paraId="180AB1E3">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hint="eastAsia" w:ascii="楷体" w:hAnsi="楷体" w:eastAsia="楷体" w:cs="楷体"/>
          <w:color w:val="auto"/>
          <w:kern w:val="0"/>
          <w:szCs w:val="21"/>
          <w:highlight w:val="none"/>
          <w:shd w:val="clear" w:color="auto" w:fill="FFFFFF"/>
        </w:rPr>
        <w:t>2.生产厂名与厂址应与生产厂营业执照载明的相关信息保持一致。</w:t>
      </w:r>
    </w:p>
    <w:p w14:paraId="23DF535D">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hint="eastAsia" w:ascii="楷体" w:hAnsi="楷体" w:eastAsia="楷体" w:cs="楷体"/>
          <w:color w:val="auto"/>
          <w:kern w:val="0"/>
          <w:szCs w:val="21"/>
          <w:highlight w:val="none"/>
          <w:shd w:val="clear" w:color="auto" w:fill="FFFFFF"/>
        </w:rPr>
        <w:t>3.该产品的中国境内生产的组件成本占比相关要求实施前，“规定比例”栏可不填，下同。</w:t>
      </w:r>
    </w:p>
    <w:p w14:paraId="4AB2BD36">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hint="eastAsia" w:ascii="楷体" w:hAnsi="楷体" w:eastAsia="楷体" w:cs="楷体"/>
          <w:color w:val="auto"/>
          <w:kern w:val="0"/>
          <w:szCs w:val="21"/>
          <w:highlight w:val="none"/>
          <w:shd w:val="clear" w:color="auto" w:fill="FFFFFF"/>
        </w:rPr>
        <w:t>4.该产品的关键组件要求实施前，“关键组件”栏可不填，下同。</w:t>
      </w:r>
    </w:p>
    <w:p w14:paraId="2B0A832A">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hint="eastAsia" w:ascii="楷体" w:hAnsi="楷体" w:eastAsia="楷体" w:cs="楷体"/>
          <w:color w:val="auto"/>
          <w:kern w:val="0"/>
          <w:szCs w:val="21"/>
          <w:highlight w:val="none"/>
          <w:shd w:val="clear" w:color="auto" w:fill="FFFFFF"/>
        </w:rPr>
        <w:t>5.该产品的关键工序要求实施前，“关键工序”栏可不填，下同。</w:t>
      </w:r>
    </w:p>
    <w:p w14:paraId="6B7F459E">
      <w:pPr>
        <w:widowControl/>
        <w:tabs>
          <w:tab w:val="left" w:pos="735"/>
        </w:tabs>
        <w:spacing w:line="360" w:lineRule="auto"/>
        <w:rPr>
          <w:rFonts w:hint="eastAsia" w:ascii="宋体" w:hAnsi="宋体"/>
          <w:b/>
          <w:color w:val="auto"/>
          <w:sz w:val="28"/>
          <w:szCs w:val="28"/>
        </w:rPr>
      </w:pPr>
    </w:p>
    <w:p w14:paraId="6F91C1FC">
      <w:pPr>
        <w:widowControl/>
        <w:tabs>
          <w:tab w:val="left" w:pos="735"/>
        </w:tabs>
        <w:spacing w:line="360" w:lineRule="auto"/>
        <w:rPr>
          <w:b/>
          <w:color w:val="0000FF"/>
          <w:sz w:val="32"/>
          <w:szCs w:val="32"/>
        </w:rPr>
      </w:pPr>
      <w:r>
        <w:rPr>
          <w:rFonts w:hint="eastAsia" w:ascii="宋体" w:hAnsi="宋体"/>
          <w:b/>
          <w:color w:val="000000" w:themeColor="text1"/>
          <w:sz w:val="28"/>
          <w:szCs w:val="28"/>
          <w14:textFill>
            <w14:solidFill>
              <w14:schemeClr w14:val="tx1"/>
            </w14:solidFill>
          </w14:textFill>
        </w:rPr>
        <w:t>附件</w:t>
      </w:r>
      <w:r>
        <w:rPr>
          <w:rFonts w:hint="eastAsia" w:ascii="宋体" w:hAnsi="宋体" w:cs="Times New Roman"/>
          <w:b/>
          <w:color w:val="000000" w:themeColor="text1"/>
          <w:sz w:val="28"/>
          <w:szCs w:val="28"/>
          <w14:textFill>
            <w14:solidFill>
              <w14:schemeClr w14:val="tx1"/>
            </w14:solidFill>
          </w14:textFill>
        </w:rPr>
        <w:t>1</w:t>
      </w:r>
      <w:r>
        <w:rPr>
          <w:rFonts w:hint="eastAsia" w:ascii="宋体" w:hAnsi="宋体" w:cs="Times New Roman"/>
          <w:b/>
          <w:color w:val="000000" w:themeColor="text1"/>
          <w:sz w:val="28"/>
          <w:szCs w:val="28"/>
          <w:lang w:val="en-US" w:eastAsia="zh-CN"/>
          <w14:textFill>
            <w14:solidFill>
              <w14:schemeClr w14:val="tx1"/>
            </w14:solidFill>
          </w14:textFill>
        </w:rPr>
        <w:t>2</w:t>
      </w:r>
      <w:r>
        <w:rPr>
          <w:rFonts w:hint="eastAsia" w:ascii="宋体" w:hAnsi="宋体" w:cs="Times New Roman"/>
          <w:b/>
          <w:color w:val="000000" w:themeColor="text1"/>
          <w:sz w:val="28"/>
          <w:szCs w:val="28"/>
          <w14:textFill>
            <w14:solidFill>
              <w14:schemeClr w14:val="tx1"/>
            </w14:solidFill>
          </w14:textFill>
        </w:rPr>
        <w:t>：</w:t>
      </w:r>
    </w:p>
    <w:p w14:paraId="65BCBE80">
      <w:pPr>
        <w:spacing w:line="360" w:lineRule="auto"/>
        <w:ind w:firstLine="643" w:firstLineChars="200"/>
        <w:jc w:val="center"/>
        <w:rPr>
          <w:b/>
          <w:color w:val="000000" w:themeColor="text1"/>
          <w:sz w:val="32"/>
          <w:szCs w:val="32"/>
          <w14:textFill>
            <w14:solidFill>
              <w14:schemeClr w14:val="tx1"/>
            </w14:solidFill>
          </w14:textFill>
        </w:rPr>
      </w:pPr>
    </w:p>
    <w:p w14:paraId="78CD55B7">
      <w:pPr>
        <w:spacing w:line="360" w:lineRule="auto"/>
        <w:ind w:firstLine="562" w:firstLineChars="20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竞争性谈判文件要求的或供应商认为需要加以说明的其他内容</w:t>
      </w:r>
    </w:p>
    <w:p w14:paraId="35055779">
      <w:pPr>
        <w:spacing w:line="360" w:lineRule="auto"/>
        <w:ind w:firstLine="562" w:firstLineChars="20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br w:type="page"/>
      </w:r>
    </w:p>
    <w:p w14:paraId="6C53F5A5">
      <w:pPr>
        <w:pStyle w:val="3"/>
        <w:spacing w:before="100" w:after="90" w:line="579" w:lineRule="auto"/>
        <w:jc w:val="center"/>
        <w:rPr>
          <w:rFonts w:ascii="微软雅黑" w:hAnsi="微软雅黑" w:eastAsia="微软雅黑" w:cs="微软雅黑"/>
          <w:b w:val="0"/>
          <w:bCs w:val="0"/>
          <w:color w:val="000000" w:themeColor="text1"/>
          <w14:textFill>
            <w14:solidFill>
              <w14:schemeClr w14:val="tx1"/>
            </w14:solidFill>
          </w14:textFill>
        </w:rPr>
      </w:pPr>
      <w:bookmarkStart w:id="46" w:name="_Toc21790"/>
      <w:r>
        <w:rPr>
          <w:rFonts w:hint="eastAsia" w:ascii="微软雅黑" w:hAnsi="微软雅黑" w:eastAsia="微软雅黑" w:cs="微软雅黑"/>
          <w:b w:val="0"/>
          <w:bCs w:val="0"/>
          <w:color w:val="000000" w:themeColor="text1"/>
          <w14:textFill>
            <w14:solidFill>
              <w14:schemeClr w14:val="tx1"/>
            </w14:solidFill>
          </w14:textFill>
        </w:rPr>
        <w:t>优化和提升政府采购政策</w:t>
      </w:r>
      <w:bookmarkEnd w:id="46"/>
    </w:p>
    <w:p w14:paraId="59ED18A5">
      <w:pPr>
        <w:shd w:val="clear" w:color="auto" w:fill="FFFFFF"/>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一、全面取消采购文件费用和投标保证金费用。</w:t>
      </w:r>
    </w:p>
    <w:p w14:paraId="5DACC0D0">
      <w:pPr>
        <w:shd w:val="clear" w:color="auto" w:fill="FFFFFF"/>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二、免收履约保证金。确因项目需要的，应以保函等非现金形式收取，比例不得超过合同金额的</w:t>
      </w:r>
      <w:r>
        <w:rPr>
          <w:rFonts w:hint="eastAsia" w:ascii="仿宋_GB2312" w:hAnsi="宋体" w:eastAsia="仿宋_GB2312" w:cs="宋体"/>
          <w:color w:val="000000" w:themeColor="text1"/>
          <w:sz w:val="28"/>
          <w:szCs w:val="28"/>
          <w:u w:val="single"/>
          <w14:textFill>
            <w14:solidFill>
              <w14:schemeClr w14:val="tx1"/>
            </w14:solidFill>
          </w14:textFill>
        </w:rPr>
        <w:t>6%</w:t>
      </w:r>
      <w:r>
        <w:rPr>
          <w:rFonts w:hint="eastAsia" w:ascii="仿宋_GB2312" w:hAnsi="宋体" w:eastAsia="仿宋_GB2312" w:cs="宋体"/>
          <w:color w:val="000000" w:themeColor="text1"/>
          <w:sz w:val="28"/>
          <w:szCs w:val="28"/>
          <w14:textFill>
            <w14:solidFill>
              <w14:schemeClr w14:val="tx1"/>
            </w14:solidFill>
          </w14:textFill>
        </w:rPr>
        <w:t>，并按约定的时间和条件退还。</w:t>
      </w:r>
    </w:p>
    <w:p w14:paraId="00E67205">
      <w:pPr>
        <w:shd w:val="clear" w:color="auto" w:fill="FFFFFF"/>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三、评标结果确认时限。自评标（评审）结束后应2个工作日内确定中标（成交）供应商，5个工作日内公告结果，同时发送中标（成交）通知书。</w:t>
      </w:r>
    </w:p>
    <w:p w14:paraId="2C130BDB">
      <w:pPr>
        <w:shd w:val="clear" w:color="auto" w:fill="FFFFFF"/>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四、合同签订时限。自中标（成交）通知书发出之日起</w:t>
      </w:r>
      <w:r>
        <w:rPr>
          <w:rFonts w:hint="eastAsia" w:ascii="仿宋_GB2312" w:hAnsi="宋体" w:eastAsia="仿宋_GB2312" w:cs="宋体"/>
          <w:color w:val="000000" w:themeColor="text1"/>
          <w:sz w:val="28"/>
          <w:szCs w:val="28"/>
          <w:u w:val="single"/>
          <w14:textFill>
            <w14:solidFill>
              <w14:schemeClr w14:val="tx1"/>
            </w14:solidFill>
          </w14:textFill>
        </w:rPr>
        <w:t>15</w:t>
      </w:r>
      <w:r>
        <w:rPr>
          <w:rFonts w:hint="eastAsia" w:ascii="仿宋_GB2312" w:hAnsi="宋体" w:eastAsia="仿宋_GB2312" w:cs="宋体"/>
          <w:color w:val="000000" w:themeColor="text1"/>
          <w:sz w:val="28"/>
          <w:szCs w:val="28"/>
          <w14:textFill>
            <w14:solidFill>
              <w14:schemeClr w14:val="tx1"/>
            </w14:solidFill>
          </w14:textFill>
        </w:rPr>
        <w:t xml:space="preserve">日内，按照采购文件和投标（响应性）文件确定的事项签订政府采购合同。 </w:t>
      </w:r>
    </w:p>
    <w:p w14:paraId="4E99A2F9">
      <w:pPr>
        <w:shd w:val="clear" w:color="auto" w:fill="FFFFFF"/>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五、合同公告和备案时限。自合同签订之日起2个工作日内。</w:t>
      </w:r>
    </w:p>
    <w:p w14:paraId="35398B58">
      <w:pPr>
        <w:shd w:val="clear" w:color="auto" w:fill="FFFFFF"/>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六、项目验收。自收到供应商项目验收建议之日起5个工作日内组织验收；验收结束后2个工作日内出具《验收报告》，并在焦作市政府采购网公告验收结果。</w:t>
      </w:r>
    </w:p>
    <w:p w14:paraId="11EB5150">
      <w:pPr>
        <w:shd w:val="clear" w:color="auto" w:fill="FFFFFF"/>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七、资金支付。按照合同约定的条件及时支付资金，</w:t>
      </w:r>
      <w:r>
        <w:rPr>
          <w:rFonts w:hint="eastAsia" w:ascii="仿宋_GB2312" w:hAnsi="仿宋_GB2312" w:eastAsia="仿宋_GB2312" w:cs="仿宋_GB2312"/>
          <w:color w:val="000000" w:themeColor="text1"/>
          <w:sz w:val="28"/>
          <w:szCs w:val="28"/>
          <w14:textFill>
            <w14:solidFill>
              <w14:schemeClr w14:val="tx1"/>
            </w14:solidFill>
          </w14:textFill>
        </w:rPr>
        <w:t>不得因机构变更、人员更替、政策调整等原因拒绝或延迟资金支付</w:t>
      </w:r>
      <w:r>
        <w:rPr>
          <w:rFonts w:hint="eastAsia" w:ascii="仿宋_GB2312" w:hAnsi="宋体" w:eastAsia="仿宋_GB2312" w:cs="宋体"/>
          <w:color w:val="000000" w:themeColor="text1"/>
          <w:sz w:val="28"/>
          <w:szCs w:val="28"/>
          <w14:textFill>
            <w14:solidFill>
              <w14:schemeClr w14:val="tx1"/>
            </w14:solidFill>
          </w14:textFill>
        </w:rPr>
        <w:t>。</w:t>
      </w:r>
    </w:p>
    <w:p w14:paraId="4A7C0F49">
      <w:pPr>
        <w:shd w:val="clear" w:color="auto" w:fill="FFFFFF"/>
        <w:spacing w:line="360" w:lineRule="auto"/>
        <w:ind w:firstLine="560" w:firstLineChars="200"/>
        <w:rPr>
          <w:rFonts w:ascii="仿宋_GB2312" w:hAnsi="Arial" w:eastAsia="仿宋_GB2312" w:cs="Arial"/>
          <w:color w:val="000000" w:themeColor="text1"/>
          <w:sz w:val="28"/>
          <w:szCs w:val="28"/>
          <w:shd w:val="clear" w:color="auto" w:fill="FFFFFF"/>
          <w14:textFill>
            <w14:solidFill>
              <w14:schemeClr w14:val="tx1"/>
            </w14:solidFill>
          </w14:textFill>
        </w:rPr>
      </w:pPr>
      <w:r>
        <w:rPr>
          <w:rFonts w:hint="eastAsia" w:ascii="仿宋_GB2312" w:hAnsi="Arial" w:eastAsia="仿宋_GB2312" w:cs="Arial"/>
          <w:color w:val="000000" w:themeColor="text1"/>
          <w:sz w:val="28"/>
          <w:szCs w:val="28"/>
          <w:shd w:val="clear" w:color="auto" w:fill="FFFFFF"/>
          <w14:textFill>
            <w14:solidFill>
              <w14:schemeClr w14:val="tx1"/>
            </w14:solidFill>
          </w14:textFill>
        </w:rPr>
        <w:t>在政府采购活动中，若发现采购人或采购代理机构未按以上政策执行的，可向监督部门举报反映。</w:t>
      </w:r>
    </w:p>
    <w:p w14:paraId="1DCA8BBD">
      <w:pPr>
        <w:shd w:val="clear" w:color="auto" w:fill="FFFFFF"/>
        <w:spacing w:line="360" w:lineRule="auto"/>
        <w:ind w:firstLine="560" w:firstLineChars="200"/>
        <w:rPr>
          <w:rFonts w:ascii="仿宋_GB2312" w:hAnsi="Arial" w:eastAsia="仿宋_GB2312" w:cs="Arial"/>
          <w:color w:val="000000" w:themeColor="text1"/>
          <w:sz w:val="28"/>
          <w:szCs w:val="28"/>
          <w:shd w:val="clear" w:color="auto" w:fill="FFFFFF"/>
          <w14:textFill>
            <w14:solidFill>
              <w14:schemeClr w14:val="tx1"/>
            </w14:solidFill>
          </w14:textFill>
        </w:rPr>
      </w:pPr>
      <w:r>
        <w:rPr>
          <w:rFonts w:hint="eastAsia" w:ascii="仿宋_GB2312" w:hAnsi="Arial" w:eastAsia="仿宋_GB2312" w:cs="Arial"/>
          <w:color w:val="000000" w:themeColor="text1"/>
          <w:sz w:val="28"/>
          <w:szCs w:val="28"/>
          <w:shd w:val="clear" w:color="auto" w:fill="FFFFFF"/>
          <w14:textFill>
            <w14:solidFill>
              <w14:schemeClr w14:val="tx1"/>
            </w14:solidFill>
          </w14:textFill>
        </w:rPr>
        <w:t>监督单位：博爱县财政局政府采购监督管理办公室</w:t>
      </w:r>
    </w:p>
    <w:p w14:paraId="04703E06">
      <w:pPr>
        <w:shd w:val="clear" w:color="auto" w:fill="FFFFFF"/>
        <w:spacing w:line="360" w:lineRule="auto"/>
        <w:ind w:firstLine="560" w:firstLineChars="200"/>
        <w:rPr>
          <w:rFonts w:ascii="仿宋_GB2312" w:hAnsi="Arial" w:eastAsia="仿宋_GB2312" w:cs="Arial"/>
          <w:color w:val="000000" w:themeColor="text1"/>
          <w:sz w:val="28"/>
          <w:szCs w:val="28"/>
          <w:shd w:val="clear" w:color="auto" w:fill="FFFFFF"/>
          <w14:textFill>
            <w14:solidFill>
              <w14:schemeClr w14:val="tx1"/>
            </w14:solidFill>
          </w14:textFill>
        </w:rPr>
      </w:pPr>
      <w:r>
        <w:rPr>
          <w:rFonts w:hint="eastAsia" w:ascii="仿宋_GB2312" w:hAnsi="Arial" w:eastAsia="仿宋_GB2312" w:cs="Arial"/>
          <w:color w:val="000000" w:themeColor="text1"/>
          <w:sz w:val="28"/>
          <w:szCs w:val="28"/>
          <w:shd w:val="clear" w:color="auto" w:fill="FFFFFF"/>
          <w14:textFill>
            <w14:solidFill>
              <w14:schemeClr w14:val="tx1"/>
            </w14:solidFill>
          </w14:textFill>
        </w:rPr>
        <w:t>监督电话：0391-8683273</w:t>
      </w:r>
    </w:p>
    <w:p w14:paraId="63A37BA2">
      <w:pPr>
        <w:shd w:val="clear" w:color="auto" w:fill="FFFFFF"/>
        <w:spacing w:line="360" w:lineRule="auto"/>
        <w:ind w:firstLine="560" w:firstLineChars="200"/>
        <w:rPr>
          <w:rFonts w:ascii="仿宋_GB2312" w:hAnsi="Arial" w:eastAsia="仿宋_GB2312" w:cs="Arial"/>
          <w:color w:val="000000" w:themeColor="text1"/>
          <w:sz w:val="28"/>
          <w:szCs w:val="28"/>
          <w:shd w:val="clear" w:color="auto" w:fill="FFFFFF"/>
          <w14:textFill>
            <w14:solidFill>
              <w14:schemeClr w14:val="tx1"/>
            </w14:solidFill>
          </w14:textFill>
        </w:rPr>
      </w:pPr>
      <w:r>
        <w:rPr>
          <w:rFonts w:hint="eastAsia" w:ascii="仿宋_GB2312" w:hAnsi="Arial" w:eastAsia="仿宋_GB2312" w:cs="Arial"/>
          <w:color w:val="000000" w:themeColor="text1"/>
          <w:sz w:val="28"/>
          <w:szCs w:val="28"/>
          <w:shd w:val="clear" w:color="auto" w:fill="FFFFFF"/>
          <w14:textFill>
            <w14:solidFill>
              <w14:schemeClr w14:val="tx1"/>
            </w14:solidFill>
          </w14:textFill>
        </w:rPr>
        <w:t>地址：博爱县发展大道188号机关综合办公楼主楼1213室</w:t>
      </w:r>
    </w:p>
    <w:p w14:paraId="43117777">
      <w:pPr>
        <w:spacing w:line="360" w:lineRule="auto"/>
        <w:ind w:firstLine="883" w:firstLineChars="200"/>
        <w:jc w:val="center"/>
        <w:rPr>
          <w:rFonts w:ascii="宋体" w:hAnsi="宋体" w:cs="宋体"/>
          <w:b/>
          <w:color w:val="000000" w:themeColor="text1"/>
          <w:sz w:val="44"/>
          <w:szCs w:val="44"/>
          <w14:textFill>
            <w14:solidFill>
              <w14:schemeClr w14:val="tx1"/>
            </w14:solidFill>
          </w14:textFill>
        </w:rPr>
      </w:pPr>
    </w:p>
    <w:p w14:paraId="14F3C482">
      <w:pPr>
        <w:pStyle w:val="47"/>
        <w:framePr w:wrap="around"/>
        <w:rPr>
          <w:rFonts w:ascii="宋体" w:hAnsi="宋体" w:cs="宋体"/>
          <w:b/>
          <w:color w:val="000000" w:themeColor="text1"/>
          <w:sz w:val="44"/>
          <w:szCs w:val="44"/>
          <w14:textFill>
            <w14:solidFill>
              <w14:schemeClr w14:val="tx1"/>
            </w14:solidFill>
          </w14:textFill>
        </w:rPr>
      </w:pPr>
    </w:p>
    <w:p w14:paraId="679B1CBD">
      <w:pPr>
        <w:pStyle w:val="12"/>
        <w:ind w:firstLine="420"/>
        <w:rPr>
          <w:color w:val="000000" w:themeColor="text1"/>
          <w14:textFill>
            <w14:solidFill>
              <w14:schemeClr w14:val="tx1"/>
            </w14:solidFill>
          </w14:textFill>
        </w:rPr>
      </w:pPr>
    </w:p>
    <w:p w14:paraId="111CCF9D">
      <w:pPr>
        <w:pStyle w:val="3"/>
        <w:spacing w:before="100" w:after="90" w:line="579" w:lineRule="auto"/>
        <w:jc w:val="center"/>
        <w:rPr>
          <w:rFonts w:ascii="微软雅黑" w:hAnsi="微软雅黑" w:eastAsia="微软雅黑" w:cs="微软雅黑"/>
          <w:b w:val="0"/>
          <w:bCs w:val="0"/>
          <w:color w:val="000000" w:themeColor="text1"/>
          <w14:textFill>
            <w14:solidFill>
              <w14:schemeClr w14:val="tx1"/>
            </w14:solidFill>
          </w14:textFill>
        </w:rPr>
      </w:pPr>
      <w:bookmarkStart w:id="47" w:name="_Toc11991"/>
      <w:r>
        <w:rPr>
          <w:rFonts w:hint="eastAsia" w:ascii="微软雅黑" w:hAnsi="微软雅黑" w:eastAsia="微软雅黑" w:cs="微软雅黑"/>
          <w:b w:val="0"/>
          <w:bCs w:val="0"/>
          <w:color w:val="000000" w:themeColor="text1"/>
          <w14:textFill>
            <w14:solidFill>
              <w14:schemeClr w14:val="tx1"/>
            </w14:solidFill>
          </w14:textFill>
        </w:rPr>
        <w:t>政府采购合同融资政策</w:t>
      </w:r>
      <w:bookmarkEnd w:id="47"/>
    </w:p>
    <w:p w14:paraId="63AB5098">
      <w:pPr>
        <w:spacing w:line="360"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hAnsi="宋体" w:eastAsia="仿宋_GB2312" w:cs="宋体"/>
          <w:color w:val="000000" w:themeColor="text1"/>
          <w:sz w:val="30"/>
          <w:szCs w:val="30"/>
          <w14:textFill>
            <w14:solidFill>
              <w14:schemeClr w14:val="tx1"/>
            </w14:solidFill>
          </w14:textFill>
        </w:rPr>
        <w:t>为充分发挥政府采购合同资金支付有保障的优势，</w:t>
      </w:r>
      <w:r>
        <w:rPr>
          <w:rFonts w:hint="eastAsia" w:ascii="仿宋_GB2312" w:eastAsia="仿宋_GB2312"/>
          <w:color w:val="000000" w:themeColor="text1"/>
          <w:sz w:val="30"/>
          <w:szCs w:val="30"/>
          <w14:textFill>
            <w14:solidFill>
              <w14:schemeClr w14:val="tx1"/>
            </w14:solidFill>
          </w14:textFill>
        </w:rPr>
        <w:t>进一步优化我市营商环境，针对中小微企业融资难、融资贵问题，焦作市财政局联合有关部门推出了</w:t>
      </w:r>
      <w:r>
        <w:rPr>
          <w:rFonts w:ascii="仿宋_GB2312" w:eastAsia="仿宋_GB2312"/>
          <w:color w:val="000000" w:themeColor="text1"/>
          <w:sz w:val="30"/>
          <w:szCs w:val="30"/>
          <w14:textFill>
            <w14:solidFill>
              <w14:schemeClr w14:val="tx1"/>
            </w14:solidFill>
          </w14:textFill>
        </w:rPr>
        <w:t>以政府采购</w:t>
      </w:r>
      <w:r>
        <w:rPr>
          <w:rFonts w:hint="eastAsia" w:ascii="仿宋_GB2312" w:eastAsia="仿宋_GB2312"/>
          <w:color w:val="000000" w:themeColor="text1"/>
          <w:sz w:val="30"/>
          <w:szCs w:val="30"/>
          <w14:textFill>
            <w14:solidFill>
              <w14:schemeClr w14:val="tx1"/>
            </w14:solidFill>
          </w14:textFill>
        </w:rPr>
        <w:t>合同</w:t>
      </w:r>
      <w:r>
        <w:rPr>
          <w:rFonts w:ascii="仿宋_GB2312" w:eastAsia="仿宋_GB2312"/>
          <w:color w:val="000000" w:themeColor="text1"/>
          <w:sz w:val="30"/>
          <w:szCs w:val="30"/>
          <w14:textFill>
            <w14:solidFill>
              <w14:schemeClr w14:val="tx1"/>
            </w14:solidFill>
          </w14:textFill>
        </w:rPr>
        <w:t>预期支付能力为信用</w:t>
      </w:r>
      <w:r>
        <w:rPr>
          <w:rFonts w:hint="eastAsia" w:ascii="仿宋_GB2312" w:eastAsia="仿宋_GB2312"/>
          <w:color w:val="000000" w:themeColor="text1"/>
          <w:sz w:val="30"/>
          <w:szCs w:val="30"/>
          <w14:textFill>
            <w14:solidFill>
              <w14:schemeClr w14:val="tx1"/>
            </w14:solidFill>
          </w14:textFill>
        </w:rPr>
        <w:t>的融资政策。</w:t>
      </w:r>
    </w:p>
    <w:p w14:paraId="6ED1E8D5">
      <w:pPr>
        <w:spacing w:line="360" w:lineRule="auto"/>
        <w:ind w:firstLine="600"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color w:val="000000" w:themeColor="text1"/>
          <w:sz w:val="30"/>
          <w:szCs w:val="30"/>
          <w14:textFill>
            <w14:solidFill>
              <w14:schemeClr w14:val="tx1"/>
            </w14:solidFill>
          </w14:textFill>
        </w:rPr>
        <w:t>政府采购合同融资，是指参与政府采购并中标（成交）的中小微企业供应商，凭借政府采购合同向开展融资业务的服务机构申请融资贷款，融资服务机构以信贷政策为基础提供</w:t>
      </w:r>
      <w:r>
        <w:rPr>
          <w:rFonts w:hint="eastAsia" w:ascii="仿宋_GB2312" w:eastAsia="仿宋_GB2312"/>
          <w:color w:val="000000" w:themeColor="text1"/>
          <w:sz w:val="30"/>
          <w:szCs w:val="30"/>
          <w14:textFill>
            <w14:solidFill>
              <w14:schemeClr w14:val="tx1"/>
            </w14:solidFill>
          </w14:textFill>
        </w:rPr>
        <w:t>无抵押、免担保、低利率的的</w:t>
      </w:r>
      <w:r>
        <w:rPr>
          <w:rFonts w:hint="eastAsia" w:ascii="仿宋_GB2312" w:hAnsi="宋体" w:eastAsia="仿宋_GB2312" w:cs="宋体"/>
          <w:color w:val="000000" w:themeColor="text1"/>
          <w:sz w:val="30"/>
          <w:szCs w:val="30"/>
          <w14:textFill>
            <w14:solidFill>
              <w14:schemeClr w14:val="tx1"/>
            </w14:solidFill>
          </w14:textFill>
        </w:rPr>
        <w:t>融资产品。</w:t>
      </w:r>
    </w:p>
    <w:p w14:paraId="3B3004DC">
      <w:pPr>
        <w:spacing w:line="360"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政府采购项目中标（成交）的供应商，有融资意向的，</w:t>
      </w:r>
      <w:r>
        <w:rPr>
          <w:rFonts w:hint="eastAsia" w:ascii="仿宋_GB2312" w:hAnsi="方正仿宋_GBK" w:eastAsia="仿宋_GB2312"/>
          <w:color w:val="000000" w:themeColor="text1"/>
          <w:sz w:val="30"/>
          <w:szCs w:val="30"/>
          <w14:textFill>
            <w14:solidFill>
              <w14:schemeClr w14:val="tx1"/>
            </w14:solidFill>
          </w14:textFill>
        </w:rPr>
        <w:t>可登陆“焦作市政府采购网”（网址：</w:t>
      </w:r>
      <w:r>
        <w:fldChar w:fldCharType="begin"/>
      </w:r>
      <w:r>
        <w:instrText xml:space="preserve"> HYPERLINK "http://jiaozuo.hngp.gov.cn）de" </w:instrText>
      </w:r>
      <w:r>
        <w:fldChar w:fldCharType="separate"/>
      </w:r>
      <w:r>
        <w:rPr>
          <w:rStyle w:val="39"/>
          <w:rFonts w:ascii="仿宋_GB2312" w:hAnsi="方正仿宋_GBK"/>
          <w:color w:val="000000" w:themeColor="text1"/>
          <w:sz w:val="30"/>
          <w:szCs w:val="30"/>
          <w14:textFill>
            <w14:solidFill>
              <w14:schemeClr w14:val="tx1"/>
            </w14:solidFill>
          </w14:textFill>
        </w:rPr>
        <w:t>http://jiaozuo.hngp.gov.cn</w:t>
      </w:r>
      <w:r>
        <w:rPr>
          <w:rStyle w:val="39"/>
          <w:rFonts w:hint="eastAsia" w:ascii="仿宋_GB2312" w:hAnsi="方正仿宋_GBK"/>
          <w:color w:val="000000" w:themeColor="text1"/>
          <w:sz w:val="30"/>
          <w:szCs w:val="30"/>
          <w14:textFill>
            <w14:solidFill>
              <w14:schemeClr w14:val="tx1"/>
            </w14:solidFill>
          </w14:textFill>
        </w:rPr>
        <w:t>）</w:t>
      </w:r>
      <w:r>
        <w:rPr>
          <w:rStyle w:val="39"/>
          <w:rFonts w:hint="eastAsia" w:ascii="仿宋_GB2312" w:hAnsi="方正仿宋_GBK"/>
          <w:color w:val="000000" w:themeColor="text1"/>
          <w:sz w:val="30"/>
          <w:szCs w:val="30"/>
          <w14:textFill>
            <w14:solidFill>
              <w14:schemeClr w14:val="tx1"/>
            </w14:solidFill>
          </w14:textFill>
        </w:rPr>
        <w:fldChar w:fldCharType="end"/>
      </w:r>
      <w:r>
        <w:rPr>
          <w:rFonts w:hint="eastAsia" w:ascii="仿宋_GB2312" w:hAnsi="方正仿宋_GBK" w:eastAsia="仿宋_GB2312"/>
          <w:color w:val="000000" w:themeColor="text1"/>
          <w:sz w:val="30"/>
          <w:szCs w:val="30"/>
          <w14:textFill>
            <w14:solidFill>
              <w14:schemeClr w14:val="tx1"/>
            </w14:solidFill>
          </w14:textFill>
        </w:rPr>
        <w:t>的政府采购合同融资平台，查看各融资服务机构的融资产品，同时可在线</w:t>
      </w:r>
      <w:r>
        <w:rPr>
          <w:rFonts w:hint="eastAsia" w:ascii="仿宋_GB2312" w:eastAsia="仿宋_GB2312"/>
          <w:color w:val="000000" w:themeColor="text1"/>
          <w:sz w:val="30"/>
          <w:szCs w:val="30"/>
          <w14:textFill>
            <w14:solidFill>
              <w14:schemeClr w14:val="tx1"/>
            </w14:solidFill>
          </w14:textFill>
        </w:rPr>
        <w:t>向融资服务机构申请贷款，</w:t>
      </w:r>
      <w:r>
        <w:rPr>
          <w:rFonts w:hint="eastAsia" w:ascii="仿宋_GB2312" w:hAnsi="宋体" w:eastAsia="仿宋_GB2312" w:cs="宋体"/>
          <w:color w:val="000000" w:themeColor="text1"/>
          <w:sz w:val="30"/>
          <w:szCs w:val="30"/>
          <w14:textFill>
            <w14:solidFill>
              <w14:schemeClr w14:val="tx1"/>
            </w14:solidFill>
          </w14:textFill>
        </w:rPr>
        <w:t>融资服务机构</w:t>
      </w:r>
      <w:r>
        <w:rPr>
          <w:rFonts w:hint="eastAsia" w:ascii="仿宋_GB2312" w:eastAsia="仿宋_GB2312"/>
          <w:color w:val="000000" w:themeColor="text1"/>
          <w:sz w:val="30"/>
          <w:szCs w:val="30"/>
          <w14:textFill>
            <w14:solidFill>
              <w14:schemeClr w14:val="tx1"/>
            </w14:solidFill>
          </w14:textFill>
        </w:rPr>
        <w:t>按照</w:t>
      </w:r>
      <w:r>
        <w:rPr>
          <w:rFonts w:hint="eastAsia" w:ascii="仿宋_GB2312" w:hAnsi="方正仿宋_GBK" w:eastAsia="仿宋_GB2312"/>
          <w:color w:val="000000" w:themeColor="text1"/>
          <w:sz w:val="30"/>
          <w:szCs w:val="30"/>
          <w14:textFill>
            <w14:solidFill>
              <w14:schemeClr w14:val="tx1"/>
            </w14:solidFill>
          </w14:textFill>
        </w:rPr>
        <w:t>程序</w:t>
      </w:r>
      <w:r>
        <w:rPr>
          <w:rFonts w:hint="eastAsia" w:ascii="仿宋_GB2312" w:eastAsia="仿宋_GB2312"/>
          <w:color w:val="000000" w:themeColor="text1"/>
          <w:sz w:val="30"/>
          <w:szCs w:val="30"/>
          <w14:textFill>
            <w14:solidFill>
              <w14:schemeClr w14:val="tx1"/>
            </w14:solidFill>
          </w14:textFill>
        </w:rPr>
        <w:t>向您提供便捷、高效、优惠的贷款服务。</w:t>
      </w:r>
    </w:p>
    <w:p w14:paraId="0A8BB9F9">
      <w:pPr>
        <w:rPr>
          <w:color w:val="000000" w:themeColor="text1"/>
          <w14:textFill>
            <w14:solidFill>
              <w14:schemeClr w14:val="tx1"/>
            </w14:solidFill>
          </w14:textFill>
        </w:rPr>
      </w:pPr>
    </w:p>
    <w:p w14:paraId="0698B2DC">
      <w:pPr>
        <w:rPr>
          <w:color w:val="000000" w:themeColor="text1"/>
          <w14:textFill>
            <w14:solidFill>
              <w14:schemeClr w14:val="tx1"/>
            </w14:solidFill>
          </w14:textFill>
        </w:rPr>
      </w:pPr>
    </w:p>
    <w:p w14:paraId="7AABD832">
      <w:pPr>
        <w:rPr>
          <w:rFonts w:ascii="仿宋_GB2312" w:eastAsia="仿宋_GB2312"/>
          <w:color w:val="000000" w:themeColor="text1"/>
          <w:sz w:val="32"/>
          <w:szCs w:val="32"/>
          <w14:textFill>
            <w14:solidFill>
              <w14:schemeClr w14:val="tx1"/>
            </w14:solidFill>
          </w14:textFill>
        </w:rPr>
      </w:pPr>
    </w:p>
    <w:p w14:paraId="6FE71F35">
      <w:pPr>
        <w:pStyle w:val="3"/>
        <w:spacing w:before="100" w:after="90" w:line="579" w:lineRule="auto"/>
        <w:jc w:val="center"/>
        <w:rPr>
          <w:rFonts w:ascii="微软雅黑" w:hAnsi="微软雅黑" w:eastAsia="微软雅黑" w:cs="微软雅黑"/>
          <w:b w:val="0"/>
          <w:bCs w:val="0"/>
          <w:color w:val="000000" w:themeColor="text1"/>
          <w14:textFill>
            <w14:solidFill>
              <w14:schemeClr w14:val="tx1"/>
            </w14:solidFill>
          </w14:textFill>
        </w:rPr>
      </w:pPr>
      <w:bookmarkStart w:id="48" w:name="_Toc31054"/>
      <w:r>
        <w:rPr>
          <w:rFonts w:hint="eastAsia" w:ascii="微软雅黑" w:hAnsi="微软雅黑" w:eastAsia="微软雅黑" w:cs="微软雅黑"/>
          <w:b w:val="0"/>
          <w:bCs w:val="0"/>
          <w:color w:val="000000" w:themeColor="text1"/>
          <w14:textFill>
            <w14:solidFill>
              <w14:schemeClr w14:val="tx1"/>
            </w14:solidFill>
          </w14:textFill>
        </w:rPr>
        <w:t>政府采购合同融资操作流</w:t>
      </w:r>
      <w:bookmarkEnd w:id="48"/>
    </w:p>
    <w:p w14:paraId="78DD09A3">
      <w:pPr>
        <w:widowControl/>
        <w:shd w:val="clear" w:color="auto" w:fill="FFFFFF"/>
        <w:tabs>
          <w:tab w:val="left" w:pos="0"/>
        </w:tabs>
        <w:spacing w:line="360" w:lineRule="auto"/>
        <w:ind w:left="-1" w:leftChars="-95" w:hanging="198" w:hangingChars="62"/>
        <w:jc w:val="center"/>
        <w:rPr>
          <w:rFonts w:ascii="微软雅黑" w:hAnsi="黑体" w:eastAsia="微软雅黑"/>
          <w:color w:val="000000" w:themeColor="text1"/>
          <w:sz w:val="44"/>
          <w:szCs w:val="44"/>
          <w14:textFill>
            <w14:solidFill>
              <w14:schemeClr w14:val="tx1"/>
            </w14:solidFill>
          </w14:textFill>
        </w:rPr>
        <w:sectPr>
          <w:pgSz w:w="11905" w:h="16838"/>
          <w:pgMar w:top="1440" w:right="1463" w:bottom="1440" w:left="1463" w:header="567" w:footer="998" w:gutter="0"/>
          <w:cols w:space="0" w:num="1"/>
          <w:docGrid w:type="lines" w:linePitch="389" w:charSpace="0"/>
        </w:sectPr>
      </w:pPr>
      <w:r>
        <w:rPr>
          <w:rFonts w:ascii="仿宋_GB2312" w:hAnsi="宋体" w:eastAsia="仿宋_GB2312" w:cs="宋体"/>
          <w:color w:val="000000" w:themeColor="text1"/>
          <w:sz w:val="32"/>
          <w:szCs w:val="32"/>
          <w14:textFill>
            <w14:solidFill>
              <w14:schemeClr w14:val="tx1"/>
            </w14:solidFill>
          </w14:textFill>
        </w:rPr>
        <mc:AlternateContent>
          <mc:Choice Requires="wpg">
            <w:drawing>
              <wp:inline distT="0" distB="0" distL="114300" distR="114300">
                <wp:extent cx="5590540" cy="7728585"/>
                <wp:effectExtent l="0" t="4445" r="10160" b="20320"/>
                <wp:docPr id="44" name="组合 214"/>
                <wp:cNvGraphicFramePr/>
                <a:graphic xmlns:a="http://schemas.openxmlformats.org/drawingml/2006/main">
                  <a:graphicData uri="http://schemas.microsoft.com/office/word/2010/wordprocessingGroup">
                    <wpg:wgp>
                      <wpg:cNvGrpSpPr>
                        <a:grpSpLocks noRot="1"/>
                      </wpg:cNvGrpSpPr>
                      <wpg:grpSpPr>
                        <a:xfrm>
                          <a:off x="0" y="0"/>
                          <a:ext cx="5590540" cy="7728585"/>
                          <a:chOff x="0" y="0"/>
                          <a:chExt cx="9330" cy="11001"/>
                        </a:xfrm>
                      </wpg:grpSpPr>
                      <wps:wsp>
                        <wps:cNvPr id="1" name="Picture 9"/>
                        <wps:cNvSpPr>
                          <a:spLocks noRot="1" noChangeAspect="1" noTextEdit="1"/>
                        </wps:cNvSpPr>
                        <wps:spPr>
                          <a:xfrm>
                            <a:off x="0" y="0"/>
                            <a:ext cx="9330" cy="11001"/>
                          </a:xfrm>
                          <a:prstGeom prst="rect">
                            <a:avLst/>
                          </a:prstGeom>
                          <a:noFill/>
                          <a:ln>
                            <a:noFill/>
                          </a:ln>
                        </wps:spPr>
                        <wps:bodyPr wrap="square" upright="1"/>
                      </wps:wsp>
                      <wps:wsp>
                        <wps:cNvPr id="2" name="矩形 15"/>
                        <wps:cNvSpPr/>
                        <wps:spPr>
                          <a:xfrm>
                            <a:off x="622" y="1737"/>
                            <a:ext cx="2177"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3E0ABA">
                              <w:pPr>
                                <w:jc w:val="center"/>
                                <w:rPr>
                                  <w:rFonts w:ascii="宋体" w:hAnsi="宋体"/>
                                  <w:sz w:val="24"/>
                                </w:rPr>
                              </w:pPr>
                              <w:r>
                                <w:rPr>
                                  <w:rFonts w:hint="eastAsia" w:ascii="宋体" w:hAnsi="宋体"/>
                                  <w:sz w:val="24"/>
                                </w:rPr>
                                <w:t>中小微企业申请</w:t>
                              </w:r>
                            </w:p>
                            <w:p w14:paraId="43E1FF20">
                              <w:pPr>
                                <w:jc w:val="center"/>
                                <w:rPr>
                                  <w:rFonts w:ascii="宋体" w:hAnsi="宋体"/>
                                </w:rPr>
                              </w:pPr>
                            </w:p>
                          </w:txbxContent>
                        </wps:txbx>
                        <wps:bodyPr wrap="square" upright="1"/>
                      </wps:wsp>
                      <wps:wsp>
                        <wps:cNvPr id="3" name="矩形 217"/>
                        <wps:cNvSpPr/>
                        <wps:spPr>
                          <a:xfrm>
                            <a:off x="3421" y="1392"/>
                            <a:ext cx="5909" cy="150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645937">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wps:txbx>
                        <wps:bodyPr wrap="square" upright="1"/>
                      </wps:wsp>
                      <wps:wsp>
                        <wps:cNvPr id="4" name="直线 16"/>
                        <wps:cNvCnPr/>
                        <wps:spPr>
                          <a:xfrm>
                            <a:off x="2799" y="2016"/>
                            <a:ext cx="622" cy="1"/>
                          </a:xfrm>
                          <a:prstGeom prst="line">
                            <a:avLst/>
                          </a:prstGeom>
                          <a:ln w="9525" cap="flat" cmpd="sng">
                            <a:solidFill>
                              <a:srgbClr val="000000"/>
                            </a:solidFill>
                            <a:prstDash val="solid"/>
                            <a:headEnd type="none" w="med" len="med"/>
                            <a:tailEnd type="triangle" w="med" len="med"/>
                          </a:ln>
                        </wps:spPr>
                        <wps:bodyPr/>
                      </wps:wsp>
                      <wps:wsp>
                        <wps:cNvPr id="5" name="矩形 25"/>
                        <wps:cNvSpPr/>
                        <wps:spPr>
                          <a:xfrm>
                            <a:off x="622" y="4632"/>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01A5B1">
                              <w:pPr>
                                <w:rPr>
                                  <w:sz w:val="24"/>
                                </w:rPr>
                              </w:pPr>
                              <w:r>
                                <w:rPr>
                                  <w:rFonts w:hint="eastAsia"/>
                                  <w:sz w:val="24"/>
                                </w:rPr>
                                <w:t>开设收款账户签订政府采购合同</w:t>
                              </w:r>
                            </w:p>
                          </w:txbxContent>
                        </wps:txbx>
                        <wps:bodyPr wrap="square" upright="1"/>
                      </wps:wsp>
                      <wps:wsp>
                        <wps:cNvPr id="6" name="直线 26"/>
                        <wps:cNvCnPr/>
                        <wps:spPr>
                          <a:xfrm>
                            <a:off x="2799" y="5211"/>
                            <a:ext cx="622" cy="1"/>
                          </a:xfrm>
                          <a:prstGeom prst="line">
                            <a:avLst/>
                          </a:prstGeom>
                          <a:ln w="9525" cap="flat" cmpd="sng">
                            <a:solidFill>
                              <a:srgbClr val="000000"/>
                            </a:solidFill>
                            <a:prstDash val="solid"/>
                            <a:headEnd type="none" w="med" len="med"/>
                            <a:tailEnd type="triangle" w="med" len="med"/>
                          </a:ln>
                        </wps:spPr>
                        <wps:bodyPr/>
                      </wps:wsp>
                      <wps:wsp>
                        <wps:cNvPr id="7" name="矩形 32"/>
                        <wps:cNvSpPr/>
                        <wps:spPr>
                          <a:xfrm>
                            <a:off x="622" y="9843"/>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E35731">
                              <w:pPr>
                                <w:jc w:val="center"/>
                                <w:rPr>
                                  <w:sz w:val="24"/>
                                </w:rPr>
                              </w:pPr>
                              <w:r>
                                <w:rPr>
                                  <w:rFonts w:hint="eastAsia"/>
                                  <w:sz w:val="24"/>
                                </w:rPr>
                                <w:t>合同资金支付及还贷</w:t>
                              </w:r>
                            </w:p>
                          </w:txbxContent>
                        </wps:txbx>
                        <wps:bodyPr wrap="square" upright="1"/>
                      </wps:wsp>
                      <wps:wsp>
                        <wps:cNvPr id="8" name="直线 33"/>
                        <wps:cNvCnPr/>
                        <wps:spPr>
                          <a:xfrm>
                            <a:off x="2799" y="10422"/>
                            <a:ext cx="622" cy="1"/>
                          </a:xfrm>
                          <a:prstGeom prst="line">
                            <a:avLst/>
                          </a:prstGeom>
                          <a:ln w="9525" cap="flat" cmpd="sng">
                            <a:solidFill>
                              <a:srgbClr val="000000"/>
                            </a:solidFill>
                            <a:prstDash val="solid"/>
                            <a:headEnd type="none" w="med" len="med"/>
                            <a:tailEnd type="triangle" w="med" len="med"/>
                          </a:ln>
                        </wps:spPr>
                        <wps:bodyPr/>
                      </wps:wsp>
                      <wps:wsp>
                        <wps:cNvPr id="9" name="矩形 34"/>
                        <wps:cNvSpPr/>
                        <wps:spPr>
                          <a:xfrm>
                            <a:off x="3421" y="9843"/>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A223A1">
                              <w:pPr>
                                <w:rPr>
                                  <w:sz w:val="24"/>
                                </w:rPr>
                              </w:pPr>
                              <w:r>
                                <w:rPr>
                                  <w:rFonts w:hint="eastAsia"/>
                                  <w:sz w:val="24"/>
                                </w:rPr>
                                <w:t>中小微企业按照合同约定履约，采购人及时开展履约验收，融资服务机构加强管理，及时锁定合同回款资金。</w:t>
                              </w:r>
                            </w:p>
                          </w:txbxContent>
                        </wps:txbx>
                        <wps:bodyPr wrap="square" upright="1"/>
                      </wps:wsp>
                      <wps:wsp>
                        <wps:cNvPr id="10" name="矩形 36"/>
                        <wps:cNvSpPr/>
                        <wps:spPr>
                          <a:xfrm>
                            <a:off x="622" y="0"/>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13A612">
                              <w:pPr>
                                <w:rPr>
                                  <w:rFonts w:ascii="宋体" w:hAnsi="宋体"/>
                                  <w:sz w:val="24"/>
                                </w:rPr>
                              </w:pPr>
                              <w:r>
                                <w:rPr>
                                  <w:rFonts w:hint="eastAsia" w:ascii="宋体" w:hAnsi="宋体"/>
                                  <w:sz w:val="24"/>
                                </w:rPr>
                                <w:t>中小微企业领取中标（成交）通知书</w:t>
                              </w:r>
                            </w:p>
                          </w:txbxContent>
                        </wps:txbx>
                        <wps:bodyPr wrap="square" upright="1"/>
                      </wps:wsp>
                      <wps:wsp>
                        <wps:cNvPr id="11" name="直线 37"/>
                        <wps:cNvCnPr/>
                        <wps:spPr>
                          <a:xfrm>
                            <a:off x="2799" y="579"/>
                            <a:ext cx="622" cy="1"/>
                          </a:xfrm>
                          <a:prstGeom prst="line">
                            <a:avLst/>
                          </a:prstGeom>
                          <a:ln w="9525" cap="flat" cmpd="sng">
                            <a:solidFill>
                              <a:srgbClr val="000000"/>
                            </a:solidFill>
                            <a:prstDash val="solid"/>
                            <a:headEnd type="none" w="med" len="med"/>
                            <a:tailEnd type="triangle" w="med" len="med"/>
                          </a:ln>
                        </wps:spPr>
                        <wps:bodyPr/>
                      </wps:wsp>
                      <wps:wsp>
                        <wps:cNvPr id="12" name="矩形 38"/>
                        <wps:cNvSpPr/>
                        <wps:spPr>
                          <a:xfrm>
                            <a:off x="3421" y="0"/>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EF3741">
                              <w:pPr>
                                <w:rPr>
                                  <w:rFonts w:ascii="宋体" w:hAnsi="宋体"/>
                                  <w:sz w:val="24"/>
                                </w:rPr>
                              </w:pPr>
                              <w:r>
                                <w:rPr>
                                  <w:rFonts w:hint="eastAsia" w:ascii="宋体" w:hAnsi="宋体"/>
                                  <w:sz w:val="24"/>
                                </w:rPr>
                                <w:t>采购人或采购代理机构在焦作市政府采购网发布中标（成交）结果公告，同时发出中标（成交）通知书。</w:t>
                              </w:r>
                            </w:p>
                          </w:txbxContent>
                        </wps:txbx>
                        <wps:bodyPr wrap="square" upright="1"/>
                      </wps:wsp>
                      <wps:wsp>
                        <wps:cNvPr id="13" name="直线 39"/>
                        <wps:cNvCnPr/>
                        <wps:spPr>
                          <a:xfrm>
                            <a:off x="1720" y="1158"/>
                            <a:ext cx="1" cy="579"/>
                          </a:xfrm>
                          <a:prstGeom prst="line">
                            <a:avLst/>
                          </a:prstGeom>
                          <a:ln w="9525" cap="flat" cmpd="sng">
                            <a:solidFill>
                              <a:srgbClr val="000000"/>
                            </a:solidFill>
                            <a:prstDash val="solid"/>
                            <a:headEnd type="none" w="med" len="med"/>
                            <a:tailEnd type="triangle" w="med" len="med"/>
                          </a:ln>
                        </wps:spPr>
                        <wps:bodyPr/>
                      </wps:wsp>
                      <wps:wsp>
                        <wps:cNvPr id="14" name="矩形 40"/>
                        <wps:cNvSpPr/>
                        <wps:spPr>
                          <a:xfrm>
                            <a:off x="622" y="2895"/>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03FEA6">
                              <w:pPr>
                                <w:jc w:val="center"/>
                                <w:rPr>
                                  <w:sz w:val="24"/>
                                </w:rPr>
                              </w:pPr>
                              <w:r>
                                <w:rPr>
                                  <w:rFonts w:hint="eastAsia"/>
                                  <w:sz w:val="24"/>
                                </w:rPr>
                                <w:t>融资服务机构审查</w:t>
                              </w:r>
                            </w:p>
                          </w:txbxContent>
                        </wps:txbx>
                        <wps:bodyPr wrap="square" upright="1"/>
                      </wps:wsp>
                      <wps:wsp>
                        <wps:cNvPr id="15" name="直线 41"/>
                        <wps:cNvCnPr/>
                        <wps:spPr>
                          <a:xfrm>
                            <a:off x="1720" y="2316"/>
                            <a:ext cx="1" cy="579"/>
                          </a:xfrm>
                          <a:prstGeom prst="line">
                            <a:avLst/>
                          </a:prstGeom>
                          <a:ln w="9525" cap="flat" cmpd="sng">
                            <a:solidFill>
                              <a:srgbClr val="000000"/>
                            </a:solidFill>
                            <a:prstDash val="solid"/>
                            <a:headEnd type="none" w="med" len="med"/>
                            <a:tailEnd type="triangle" w="med" len="med"/>
                          </a:ln>
                        </wps:spPr>
                        <wps:bodyPr/>
                      </wps:wsp>
                      <wps:wsp>
                        <wps:cNvPr id="16" name="直线 42"/>
                        <wps:cNvCnPr/>
                        <wps:spPr>
                          <a:xfrm>
                            <a:off x="2799" y="3588"/>
                            <a:ext cx="622" cy="1"/>
                          </a:xfrm>
                          <a:prstGeom prst="line">
                            <a:avLst/>
                          </a:prstGeom>
                          <a:ln w="9525" cap="flat" cmpd="sng">
                            <a:solidFill>
                              <a:srgbClr val="000000"/>
                            </a:solidFill>
                            <a:prstDash val="solid"/>
                            <a:headEnd type="none" w="med" len="med"/>
                            <a:tailEnd type="triangle" w="med" len="med"/>
                          </a:ln>
                        </wps:spPr>
                        <wps:bodyPr/>
                      </wps:wsp>
                      <wps:wsp>
                        <wps:cNvPr id="17" name="矩形 43"/>
                        <wps:cNvSpPr/>
                        <wps:spPr>
                          <a:xfrm>
                            <a:off x="3421" y="3084"/>
                            <a:ext cx="5909" cy="9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CB405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wps:txbx>
                        <wps:bodyPr wrap="square" upright="1"/>
                      </wps:wsp>
                      <wps:wsp>
                        <wps:cNvPr id="18" name="直线 44"/>
                        <wps:cNvCnPr/>
                        <wps:spPr>
                          <a:xfrm>
                            <a:off x="1690" y="4053"/>
                            <a:ext cx="1" cy="579"/>
                          </a:xfrm>
                          <a:prstGeom prst="line">
                            <a:avLst/>
                          </a:prstGeom>
                          <a:ln w="9525" cap="flat" cmpd="sng">
                            <a:solidFill>
                              <a:srgbClr val="000000"/>
                            </a:solidFill>
                            <a:prstDash val="solid"/>
                            <a:headEnd type="none" w="med" len="med"/>
                            <a:tailEnd type="triangle" w="med" len="med"/>
                          </a:ln>
                        </wps:spPr>
                        <wps:bodyPr/>
                      </wps:wsp>
                      <wps:wsp>
                        <wps:cNvPr id="19" name="矩形 45"/>
                        <wps:cNvSpPr/>
                        <wps:spPr>
                          <a:xfrm>
                            <a:off x="3421" y="4542"/>
                            <a:ext cx="5909" cy="13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2DD084">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wps:txbx>
                        <wps:bodyPr wrap="square" upright="1"/>
                      </wps:wsp>
                      <wps:wsp>
                        <wps:cNvPr id="20" name="矩形 46"/>
                        <wps:cNvSpPr/>
                        <wps:spPr>
                          <a:xfrm>
                            <a:off x="622" y="6369"/>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D37AF1">
                              <w:pPr>
                                <w:jc w:val="center"/>
                                <w:rPr>
                                  <w:sz w:val="24"/>
                                </w:rPr>
                              </w:pPr>
                              <w:r>
                                <w:rPr>
                                  <w:rFonts w:hint="eastAsia"/>
                                  <w:sz w:val="24"/>
                                </w:rPr>
                                <w:t>政府采购合同备案</w:t>
                              </w:r>
                            </w:p>
                          </w:txbxContent>
                        </wps:txbx>
                        <wps:bodyPr wrap="square" upright="1"/>
                      </wps:wsp>
                      <wps:wsp>
                        <wps:cNvPr id="21" name="直线 47"/>
                        <wps:cNvCnPr/>
                        <wps:spPr>
                          <a:xfrm>
                            <a:off x="2799" y="6948"/>
                            <a:ext cx="622" cy="1"/>
                          </a:xfrm>
                          <a:prstGeom prst="line">
                            <a:avLst/>
                          </a:prstGeom>
                          <a:ln w="9525" cap="flat" cmpd="sng">
                            <a:solidFill>
                              <a:srgbClr val="000000"/>
                            </a:solidFill>
                            <a:prstDash val="solid"/>
                            <a:headEnd type="none" w="med" len="med"/>
                            <a:tailEnd type="triangle" w="med" len="med"/>
                          </a:ln>
                        </wps:spPr>
                        <wps:bodyPr/>
                      </wps:wsp>
                      <wps:wsp>
                        <wps:cNvPr id="22" name="矩形 48"/>
                        <wps:cNvSpPr/>
                        <wps:spPr>
                          <a:xfrm>
                            <a:off x="3421" y="8106"/>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984641">
                              <w:pPr>
                                <w:rPr>
                                  <w:sz w:val="24"/>
                                </w:rPr>
                              </w:pPr>
                              <w:r>
                                <w:rPr>
                                  <w:rFonts w:hint="eastAsia"/>
                                  <w:sz w:val="24"/>
                                </w:rPr>
                                <w:t>融资服务机构确认合同的真实性后，5个工作日内完成放款。</w:t>
                              </w:r>
                            </w:p>
                          </w:txbxContent>
                        </wps:txbx>
                        <wps:bodyPr wrap="square" upright="1"/>
                      </wps:wsp>
                      <wps:wsp>
                        <wps:cNvPr id="23" name="矩形 49"/>
                        <wps:cNvSpPr/>
                        <wps:spPr>
                          <a:xfrm>
                            <a:off x="622" y="8106"/>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CF77BD">
                              <w:pPr>
                                <w:jc w:val="center"/>
                                <w:rPr>
                                  <w:sz w:val="24"/>
                                </w:rPr>
                              </w:pPr>
                              <w:r>
                                <w:rPr>
                                  <w:rFonts w:hint="eastAsia"/>
                                  <w:sz w:val="24"/>
                                </w:rPr>
                                <w:t>融资服务机构放贷</w:t>
                              </w:r>
                            </w:p>
                          </w:txbxContent>
                        </wps:txbx>
                        <wps:bodyPr wrap="square" upright="1"/>
                      </wps:wsp>
                      <wps:wsp>
                        <wps:cNvPr id="24" name="矩形 50"/>
                        <wps:cNvSpPr/>
                        <wps:spPr>
                          <a:xfrm>
                            <a:off x="3421" y="6369"/>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717F1">
                              <w:pPr>
                                <w:rPr>
                                  <w:sz w:val="24"/>
                                </w:rPr>
                              </w:pPr>
                              <w:r>
                                <w:rPr>
                                  <w:rFonts w:hint="eastAsia"/>
                                  <w:sz w:val="24"/>
                                </w:rPr>
                                <w:t>签订合同后2个工作日内完成备案；融资机构登陆焦作市电子化政府采购系统核对合同真实性。</w:t>
                              </w:r>
                            </w:p>
                          </w:txbxContent>
                        </wps:txbx>
                        <wps:bodyPr wrap="square" upright="1"/>
                      </wps:wsp>
                      <wps:wsp>
                        <wps:cNvPr id="25" name="直线 51"/>
                        <wps:cNvCnPr/>
                        <wps:spPr>
                          <a:xfrm>
                            <a:off x="1645" y="5790"/>
                            <a:ext cx="1" cy="579"/>
                          </a:xfrm>
                          <a:prstGeom prst="line">
                            <a:avLst/>
                          </a:prstGeom>
                          <a:ln w="9525" cap="flat" cmpd="sng">
                            <a:solidFill>
                              <a:srgbClr val="000000"/>
                            </a:solidFill>
                            <a:prstDash val="solid"/>
                            <a:headEnd type="none" w="med" len="med"/>
                            <a:tailEnd type="triangle" w="med" len="med"/>
                          </a:ln>
                        </wps:spPr>
                        <wps:bodyPr/>
                      </wps:wsp>
                      <wps:wsp>
                        <wps:cNvPr id="26" name="直线 52"/>
                        <wps:cNvCnPr/>
                        <wps:spPr>
                          <a:xfrm>
                            <a:off x="1630" y="7527"/>
                            <a:ext cx="1" cy="579"/>
                          </a:xfrm>
                          <a:prstGeom prst="line">
                            <a:avLst/>
                          </a:prstGeom>
                          <a:ln w="9525" cap="flat" cmpd="sng">
                            <a:solidFill>
                              <a:srgbClr val="000000"/>
                            </a:solidFill>
                            <a:prstDash val="solid"/>
                            <a:headEnd type="none" w="med" len="med"/>
                            <a:tailEnd type="triangle" w="med" len="med"/>
                          </a:ln>
                        </wps:spPr>
                        <wps:bodyPr/>
                      </wps:wsp>
                      <wps:wsp>
                        <wps:cNvPr id="27" name="直线 53"/>
                        <wps:cNvCnPr/>
                        <wps:spPr>
                          <a:xfrm>
                            <a:off x="1645" y="9264"/>
                            <a:ext cx="1" cy="579"/>
                          </a:xfrm>
                          <a:prstGeom prst="line">
                            <a:avLst/>
                          </a:prstGeom>
                          <a:ln w="9525" cap="flat" cmpd="sng">
                            <a:solidFill>
                              <a:srgbClr val="000000"/>
                            </a:solidFill>
                            <a:prstDash val="solid"/>
                            <a:headEnd type="none" w="med" len="med"/>
                            <a:tailEnd type="triangle" w="med" len="med"/>
                          </a:ln>
                        </wps:spPr>
                        <wps:bodyPr/>
                      </wps:wsp>
                      <wps:wsp>
                        <wps:cNvPr id="28" name="直线 54"/>
                        <wps:cNvCnPr/>
                        <wps:spPr>
                          <a:xfrm>
                            <a:off x="2799" y="8685"/>
                            <a:ext cx="622" cy="1"/>
                          </a:xfrm>
                          <a:prstGeom prst="line">
                            <a:avLst/>
                          </a:prstGeom>
                          <a:ln w="9525" cap="flat" cmpd="sng">
                            <a:solidFill>
                              <a:srgbClr val="000000"/>
                            </a:solidFill>
                            <a:prstDash val="solid"/>
                            <a:headEnd type="none" w="med" len="med"/>
                            <a:tailEnd type="triangle" w="med" len="med"/>
                          </a:ln>
                        </wps:spPr>
                        <wps:bodyPr/>
                      </wps:wsp>
                    </wpg:wgp>
                  </a:graphicData>
                </a:graphic>
              </wp:inline>
            </w:drawing>
          </mc:Choice>
          <mc:Fallback>
            <w:pict>
              <v:group id="组合 214" o:spid="_x0000_s1026" o:spt="203" style="height:608.55pt;width:440.2pt;" coordsize="9330,11001" o:gfxdata="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UR/yJ9cAAAAGAQAADwAAAAAAAAABACAAAAAiAAAAZHJzL2Rvd25yZXYueG1s&#10;UEsBAhQAFAAAAAgAh07iQDTW0a/CBQAAdT8AAA4AAAAAAAAAAQAgAAAAJgEAAGRycy9lMm9Eb2Mu&#10;eG1sUEsFBgAAAAAGAAYAWQEAAFoJAAAAAA==&#10;">
                <o:lock v:ext="edit" rotation="t" aspectratio="f"/>
                <v:rect id="Picture 9" o:spid="_x0000_s1026" o:spt="1" style="position:absolute;left:0;top:0;height:11001;width:933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rotation="t" text="t" aspectratio="t"/>
                </v:rect>
                <v:rect id="矩形 15" o:spid="_x0000_s1026" o:spt="1" style="position:absolute;left:622;top:1737;height:579;width:217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33E0ABA">
                        <w:pPr>
                          <w:jc w:val="center"/>
                          <w:rPr>
                            <w:rFonts w:ascii="宋体" w:hAnsi="宋体"/>
                            <w:sz w:val="24"/>
                          </w:rPr>
                        </w:pPr>
                        <w:r>
                          <w:rPr>
                            <w:rFonts w:hint="eastAsia" w:ascii="宋体" w:hAnsi="宋体"/>
                            <w:sz w:val="24"/>
                          </w:rPr>
                          <w:t>中小微企业申请</w:t>
                        </w:r>
                      </w:p>
                      <w:p w14:paraId="43E1FF20">
                        <w:pPr>
                          <w:jc w:val="center"/>
                          <w:rPr>
                            <w:rFonts w:ascii="宋体" w:hAnsi="宋体"/>
                          </w:rPr>
                        </w:pPr>
                      </w:p>
                    </w:txbxContent>
                  </v:textbox>
                </v:rect>
                <v:rect id="矩形 217" o:spid="_x0000_s1026" o:spt="1" style="position:absolute;left:3421;top:1392;height:1503;width:590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645937">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v:textbox>
                </v:rect>
                <v:line id="直线 16" o:spid="_x0000_s1026" o:spt="20" style="position:absolute;left:2799;top:2016;height:1;width:622;" filled="f" stroked="t" coordsize="21600,21600" o:gfxdata="UEsDBAoAAAAAAIdO4kAAAAAAAAAAAAAAAAAEAAAAZHJzL1BLAwQUAAAACACHTuJAaTVbhr4AAADa&#10;AAAADwAAAGRycy9kb3ducmV2LnhtbEWPT2vCQBTE74V+h+UVvNVNR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Vbh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25" o:spid="_x0000_s1026" o:spt="1" style="position:absolute;left:622;top:4632;height:1158;width:2177;"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A01A5B1">
                        <w:pPr>
                          <w:rPr>
                            <w:sz w:val="24"/>
                          </w:rPr>
                        </w:pPr>
                        <w:r>
                          <w:rPr>
                            <w:rFonts w:hint="eastAsia"/>
                            <w:sz w:val="24"/>
                          </w:rPr>
                          <w:t>开设收款账户签订政府采购合同</w:t>
                        </w:r>
                      </w:p>
                    </w:txbxContent>
                  </v:textbox>
                </v:rect>
                <v:line id="直线 26" o:spid="_x0000_s1026" o:spt="20" style="position:absolute;left:2799;top:5211;height:1;width:622;"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2" o:spid="_x0000_s1026" o:spt="1" style="position:absolute;left:622;top:9843;height:1158;width:217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DE35731">
                        <w:pPr>
                          <w:jc w:val="center"/>
                          <w:rPr>
                            <w:sz w:val="24"/>
                          </w:rPr>
                        </w:pPr>
                        <w:r>
                          <w:rPr>
                            <w:rFonts w:hint="eastAsia"/>
                            <w:sz w:val="24"/>
                          </w:rPr>
                          <w:t>合同资金支付及还贷</w:t>
                        </w:r>
                      </w:p>
                    </w:txbxContent>
                  </v:textbox>
                </v:rect>
                <v:line id="直线 33" o:spid="_x0000_s1026" o:spt="20" style="position:absolute;left:2799;top:10422;height:1;width:622;"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rect id="矩形 34" o:spid="_x0000_s1026" o:spt="1" style="position:absolute;left:3421;top:9843;height:1158;width:590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7A223A1">
                        <w:pPr>
                          <w:rPr>
                            <w:sz w:val="24"/>
                          </w:rPr>
                        </w:pPr>
                        <w:r>
                          <w:rPr>
                            <w:rFonts w:hint="eastAsia"/>
                            <w:sz w:val="24"/>
                          </w:rPr>
                          <w:t>中小微企业按照合同约定履约，采购人及时开展履约验收，融资服务机构加强管理，及时锁定合同回款资金。</w:t>
                        </w:r>
                      </w:p>
                    </w:txbxContent>
                  </v:textbox>
                </v:rect>
                <v:rect id="矩形 36" o:spid="_x0000_s1026" o:spt="1" style="position:absolute;left:622;top:0;height:1158;width:2177;"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C13A612">
                        <w:pPr>
                          <w:rPr>
                            <w:rFonts w:ascii="宋体" w:hAnsi="宋体"/>
                            <w:sz w:val="24"/>
                          </w:rPr>
                        </w:pPr>
                        <w:r>
                          <w:rPr>
                            <w:rFonts w:hint="eastAsia" w:ascii="宋体" w:hAnsi="宋体"/>
                            <w:sz w:val="24"/>
                          </w:rPr>
                          <w:t>中小微企业领取中标（成交）通知书</w:t>
                        </w:r>
                      </w:p>
                    </w:txbxContent>
                  </v:textbox>
                </v:rect>
                <v:line id="直线 37" o:spid="_x0000_s1026" o:spt="20" style="position:absolute;left:2799;top:579;height:1;width:622;"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8" o:spid="_x0000_s1026" o:spt="1" style="position:absolute;left:3421;top:0;height:1158;width:590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2EF3741">
                        <w:pPr>
                          <w:rPr>
                            <w:rFonts w:ascii="宋体" w:hAnsi="宋体"/>
                            <w:sz w:val="24"/>
                          </w:rPr>
                        </w:pPr>
                        <w:r>
                          <w:rPr>
                            <w:rFonts w:hint="eastAsia" w:ascii="宋体" w:hAnsi="宋体"/>
                            <w:sz w:val="24"/>
                          </w:rPr>
                          <w:t>采购人或采购代理机构在焦作市政府采购网发布中标（成交）结果公告，同时发出中标（成交）通知书。</w:t>
                        </w:r>
                      </w:p>
                    </w:txbxContent>
                  </v:textbox>
                </v:rect>
                <v:line id="直线 39" o:spid="_x0000_s1026" o:spt="20" style="position:absolute;left:1720;top:1158;height:579;width:1;"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40" o:spid="_x0000_s1026" o:spt="1" style="position:absolute;left:622;top:2895;height:1158;width:2177;"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103FEA6">
                        <w:pPr>
                          <w:jc w:val="center"/>
                          <w:rPr>
                            <w:sz w:val="24"/>
                          </w:rPr>
                        </w:pPr>
                        <w:r>
                          <w:rPr>
                            <w:rFonts w:hint="eastAsia"/>
                            <w:sz w:val="24"/>
                          </w:rPr>
                          <w:t>融资服务机构审查</w:t>
                        </w:r>
                      </w:p>
                    </w:txbxContent>
                  </v:textbox>
                </v:rect>
                <v:line id="直线 41" o:spid="_x0000_s1026" o:spt="20" style="position:absolute;left:1720;top:2316;height:579;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42" o:spid="_x0000_s1026" o:spt="20" style="position:absolute;left:2799;top:3588;height:1;width:622;"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43" o:spid="_x0000_s1026" o:spt="1" style="position:absolute;left:3421;top:3084;height:969;width:5909;"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09CB405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v:textbox>
                </v:rect>
                <v:line id="直线 44" o:spid="_x0000_s1026" o:spt="20" style="position:absolute;left:1690;top:4053;height:579;width:1;"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45" o:spid="_x0000_s1026" o:spt="1" style="position:absolute;left:3421;top:4542;height:1398;width:5909;"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B2DD084">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v:textbox>
                </v:rect>
                <v:rect id="矩形 46" o:spid="_x0000_s1026" o:spt="1" style="position:absolute;left:622;top:6369;height:1158;width:2177;"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8D37AF1">
                        <w:pPr>
                          <w:jc w:val="center"/>
                          <w:rPr>
                            <w:sz w:val="24"/>
                          </w:rPr>
                        </w:pPr>
                        <w:r>
                          <w:rPr>
                            <w:rFonts w:hint="eastAsia"/>
                            <w:sz w:val="24"/>
                          </w:rPr>
                          <w:t>政府采购合同备案</w:t>
                        </w:r>
                      </w:p>
                    </w:txbxContent>
                  </v:textbox>
                </v:rect>
                <v:line id="直线 47" o:spid="_x0000_s1026" o:spt="20" style="position:absolute;left:2799;top:6948;height:1;width:622;"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48" o:spid="_x0000_s1026" o:spt="1" style="position:absolute;left:3421;top:8106;height:1158;width:5909;"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A984641">
                        <w:pPr>
                          <w:rPr>
                            <w:sz w:val="24"/>
                          </w:rPr>
                        </w:pPr>
                        <w:r>
                          <w:rPr>
                            <w:rFonts w:hint="eastAsia"/>
                            <w:sz w:val="24"/>
                          </w:rPr>
                          <w:t>融资服务机构确认合同的真实性后，5个工作日内完成放款。</w:t>
                        </w:r>
                      </w:p>
                    </w:txbxContent>
                  </v:textbox>
                </v:rect>
                <v:rect id="矩形 49" o:spid="_x0000_s1026" o:spt="1" style="position:absolute;left:622;top:8106;height:1158;width:2177;"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ACF77BD">
                        <w:pPr>
                          <w:jc w:val="center"/>
                          <w:rPr>
                            <w:sz w:val="24"/>
                          </w:rPr>
                        </w:pPr>
                        <w:r>
                          <w:rPr>
                            <w:rFonts w:hint="eastAsia"/>
                            <w:sz w:val="24"/>
                          </w:rPr>
                          <w:t>融资服务机构放贷</w:t>
                        </w:r>
                      </w:p>
                    </w:txbxContent>
                  </v:textbox>
                </v:rect>
                <v:rect id="矩形 50" o:spid="_x0000_s1026" o:spt="1" style="position:absolute;left:3421;top:6369;height:1158;width:5909;"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87717F1">
                        <w:pPr>
                          <w:rPr>
                            <w:sz w:val="24"/>
                          </w:rPr>
                        </w:pPr>
                        <w:r>
                          <w:rPr>
                            <w:rFonts w:hint="eastAsia"/>
                            <w:sz w:val="24"/>
                          </w:rPr>
                          <w:t>签订合同后2个工作日内完成备案；融资机构登陆焦作市电子化政府采购系统核对合同真实性。</w:t>
                        </w:r>
                      </w:p>
                    </w:txbxContent>
                  </v:textbox>
                </v:rect>
                <v:line id="直线 51" o:spid="_x0000_s1026" o:spt="20" style="position:absolute;left:1645;top:5790;height:579;width:1;"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2" o:spid="_x0000_s1026" o:spt="20" style="position:absolute;left:1630;top:7527;height:579;width:1;"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53" o:spid="_x0000_s1026" o:spt="20" style="position:absolute;left:1645;top:9264;height:579;width:1;"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4" o:spid="_x0000_s1026" o:spt="20" style="position:absolute;left:2799;top:8685;height:1;width:622;"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w10:wrap type="none"/>
                <w10:anchorlock/>
              </v:group>
            </w:pict>
          </mc:Fallback>
        </mc:AlternateContent>
      </w:r>
    </w:p>
    <w:p w14:paraId="644C4602">
      <w:pPr>
        <w:pStyle w:val="3"/>
        <w:spacing w:before="100" w:after="90" w:line="579" w:lineRule="auto"/>
        <w:jc w:val="center"/>
        <w:rPr>
          <w:rFonts w:ascii="微软雅黑" w:hAnsi="微软雅黑" w:eastAsia="微软雅黑" w:cs="微软雅黑"/>
          <w:b w:val="0"/>
          <w:bCs w:val="0"/>
          <w:color w:val="000000" w:themeColor="text1"/>
          <w:sz w:val="40"/>
          <w:szCs w:val="40"/>
          <w14:textFill>
            <w14:solidFill>
              <w14:schemeClr w14:val="tx1"/>
            </w14:solidFill>
          </w14:textFill>
        </w:rPr>
      </w:pPr>
      <w:bookmarkStart w:id="49" w:name="_Toc14260"/>
      <w:r>
        <w:rPr>
          <w:rFonts w:hint="eastAsia" w:ascii="微软雅黑" w:hAnsi="微软雅黑" w:eastAsia="微软雅黑" w:cs="微软雅黑"/>
          <w:b w:val="0"/>
          <w:bCs w:val="0"/>
          <w:color w:val="000000" w:themeColor="text1"/>
          <w:sz w:val="40"/>
          <w:szCs w:val="40"/>
          <w14:textFill>
            <w14:solidFill>
              <w14:schemeClr w14:val="tx1"/>
            </w14:solidFill>
          </w14:textFill>
        </w:rPr>
        <w:t>融资服务机构名单</w:t>
      </w:r>
      <w:bookmarkEnd w:id="49"/>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1230"/>
        <w:gridCol w:w="1876"/>
        <w:gridCol w:w="2325"/>
      </w:tblGrid>
      <w:tr w14:paraId="4E54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3656" w:type="dxa"/>
            <w:vAlign w:val="center"/>
          </w:tcPr>
          <w:p w14:paraId="379A2C24">
            <w:pPr>
              <w:widowControl/>
              <w:tabs>
                <w:tab w:val="left" w:pos="0"/>
              </w:tabs>
              <w:spacing w:line="360" w:lineRule="auto"/>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名称</w:t>
            </w:r>
          </w:p>
        </w:tc>
        <w:tc>
          <w:tcPr>
            <w:tcW w:w="1230" w:type="dxa"/>
            <w:vAlign w:val="center"/>
          </w:tcPr>
          <w:p w14:paraId="6D245677">
            <w:pPr>
              <w:widowControl/>
              <w:tabs>
                <w:tab w:val="left" w:pos="0"/>
              </w:tabs>
              <w:spacing w:line="360" w:lineRule="auto"/>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联系人</w:t>
            </w:r>
          </w:p>
        </w:tc>
        <w:tc>
          <w:tcPr>
            <w:tcW w:w="1876" w:type="dxa"/>
            <w:vAlign w:val="center"/>
          </w:tcPr>
          <w:p w14:paraId="236B0763">
            <w:pPr>
              <w:widowControl/>
              <w:tabs>
                <w:tab w:val="left" w:pos="0"/>
              </w:tabs>
              <w:spacing w:line="360" w:lineRule="auto"/>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联系电话</w:t>
            </w:r>
          </w:p>
        </w:tc>
        <w:tc>
          <w:tcPr>
            <w:tcW w:w="2325" w:type="dxa"/>
            <w:vAlign w:val="center"/>
          </w:tcPr>
          <w:p w14:paraId="7CA0870C">
            <w:pPr>
              <w:widowControl/>
              <w:tabs>
                <w:tab w:val="left" w:pos="0"/>
              </w:tabs>
              <w:spacing w:line="360" w:lineRule="auto"/>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地址</w:t>
            </w:r>
          </w:p>
        </w:tc>
      </w:tr>
      <w:tr w14:paraId="50AD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7E604F90">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中国农业银行股份有限公司焦作分行</w:t>
            </w:r>
          </w:p>
        </w:tc>
        <w:tc>
          <w:tcPr>
            <w:tcW w:w="1230" w:type="dxa"/>
            <w:shd w:val="solid" w:color="FFFFFF" w:fill="auto"/>
            <w:vAlign w:val="center"/>
          </w:tcPr>
          <w:p w14:paraId="77D0EFF6">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薛国战</w:t>
            </w:r>
          </w:p>
        </w:tc>
        <w:tc>
          <w:tcPr>
            <w:tcW w:w="1876" w:type="dxa"/>
            <w:shd w:val="solid" w:color="FFFFFF" w:fill="auto"/>
            <w:vAlign w:val="center"/>
          </w:tcPr>
          <w:p w14:paraId="59762E9B">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0391-2878039       13839109026</w:t>
            </w:r>
          </w:p>
        </w:tc>
        <w:tc>
          <w:tcPr>
            <w:tcW w:w="2325" w:type="dxa"/>
            <w:shd w:val="solid" w:color="FFFFFF" w:fill="auto"/>
            <w:vAlign w:val="center"/>
          </w:tcPr>
          <w:p w14:paraId="22E2DE11">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焦作市民主南路88号</w:t>
            </w:r>
          </w:p>
        </w:tc>
      </w:tr>
      <w:tr w14:paraId="5764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1BC53694">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中国银行股份有限公司焦作分行</w:t>
            </w:r>
          </w:p>
        </w:tc>
        <w:tc>
          <w:tcPr>
            <w:tcW w:w="1230" w:type="dxa"/>
            <w:shd w:val="solid" w:color="FFFFFF" w:fill="auto"/>
            <w:vAlign w:val="center"/>
          </w:tcPr>
          <w:p w14:paraId="3BC5BAC9">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曹阳</w:t>
            </w:r>
          </w:p>
        </w:tc>
        <w:tc>
          <w:tcPr>
            <w:tcW w:w="1876" w:type="dxa"/>
            <w:shd w:val="solid" w:color="FFFFFF" w:fill="auto"/>
            <w:vAlign w:val="center"/>
          </w:tcPr>
          <w:p w14:paraId="69A2EA80">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0391-8825171  13839118160</w:t>
            </w:r>
          </w:p>
        </w:tc>
        <w:tc>
          <w:tcPr>
            <w:tcW w:w="2325" w:type="dxa"/>
            <w:shd w:val="solid" w:color="FFFFFF" w:fill="auto"/>
            <w:vAlign w:val="center"/>
          </w:tcPr>
          <w:p w14:paraId="5F605EEA">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焦作市丰收路159号</w:t>
            </w:r>
          </w:p>
        </w:tc>
      </w:tr>
      <w:tr w14:paraId="6074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7C7A2266">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中国建设银行股份有限公司焦作分行</w:t>
            </w:r>
          </w:p>
        </w:tc>
        <w:tc>
          <w:tcPr>
            <w:tcW w:w="1230" w:type="dxa"/>
            <w:shd w:val="clear" w:color="auto" w:fill="auto"/>
            <w:vAlign w:val="center"/>
          </w:tcPr>
          <w:p w14:paraId="39DBAA11">
            <w:pPr>
              <w:widowControl/>
              <w:tabs>
                <w:tab w:val="left" w:pos="0"/>
              </w:tabs>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李华莹</w:t>
            </w:r>
          </w:p>
        </w:tc>
        <w:tc>
          <w:tcPr>
            <w:tcW w:w="1876" w:type="dxa"/>
            <w:shd w:val="clear" w:color="auto" w:fill="auto"/>
            <w:vAlign w:val="center"/>
          </w:tcPr>
          <w:p w14:paraId="39A7EF38">
            <w:pPr>
              <w:widowControl/>
              <w:tabs>
                <w:tab w:val="left" w:pos="0"/>
              </w:tabs>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0391-3918471</w:t>
            </w:r>
          </w:p>
        </w:tc>
        <w:tc>
          <w:tcPr>
            <w:tcW w:w="2325" w:type="dxa"/>
            <w:shd w:val="solid" w:color="FFFFFF" w:fill="auto"/>
            <w:vAlign w:val="center"/>
          </w:tcPr>
          <w:p w14:paraId="60C6BBA9">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焦作市建设东路152号</w:t>
            </w:r>
          </w:p>
        </w:tc>
      </w:tr>
      <w:tr w14:paraId="249F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B222AE9">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中国邮政储蓄银行股份有限公司焦作市分行</w:t>
            </w:r>
          </w:p>
        </w:tc>
        <w:tc>
          <w:tcPr>
            <w:tcW w:w="1230" w:type="dxa"/>
            <w:shd w:val="solid" w:color="FFFFFF" w:fill="auto"/>
            <w:vAlign w:val="center"/>
          </w:tcPr>
          <w:p w14:paraId="099453F2">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李天祥</w:t>
            </w:r>
          </w:p>
        </w:tc>
        <w:tc>
          <w:tcPr>
            <w:tcW w:w="1876" w:type="dxa"/>
            <w:shd w:val="solid" w:color="FFFFFF" w:fill="auto"/>
            <w:vAlign w:val="center"/>
          </w:tcPr>
          <w:p w14:paraId="79D91400">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0391-2981968 13523359082</w:t>
            </w:r>
          </w:p>
        </w:tc>
        <w:tc>
          <w:tcPr>
            <w:tcW w:w="2325" w:type="dxa"/>
            <w:shd w:val="solid" w:color="FFFFFF" w:fill="auto"/>
            <w:vAlign w:val="center"/>
          </w:tcPr>
          <w:p w14:paraId="2A16EAE4">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焦作市丰收中路2233号</w:t>
            </w:r>
          </w:p>
        </w:tc>
      </w:tr>
      <w:tr w14:paraId="3249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7C13DFBA">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焦作中旅银行股份有限公司</w:t>
            </w:r>
          </w:p>
        </w:tc>
        <w:tc>
          <w:tcPr>
            <w:tcW w:w="1230" w:type="dxa"/>
            <w:shd w:val="solid" w:color="FFFFFF" w:fill="auto"/>
            <w:vAlign w:val="center"/>
          </w:tcPr>
          <w:p w14:paraId="2E2EA4CE">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周建林</w:t>
            </w:r>
          </w:p>
        </w:tc>
        <w:tc>
          <w:tcPr>
            <w:tcW w:w="1876" w:type="dxa"/>
            <w:shd w:val="solid" w:color="FFFFFF" w:fill="auto"/>
            <w:vAlign w:val="center"/>
          </w:tcPr>
          <w:p w14:paraId="0A15FE2F">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 xml:space="preserve">0391-2116963 15893053027 </w:t>
            </w:r>
          </w:p>
        </w:tc>
        <w:tc>
          <w:tcPr>
            <w:tcW w:w="2325" w:type="dxa"/>
            <w:shd w:val="solid" w:color="FFFFFF" w:fill="auto"/>
            <w:vAlign w:val="center"/>
          </w:tcPr>
          <w:p w14:paraId="5C3415FB">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焦作市山阳区迎宾路1号</w:t>
            </w:r>
          </w:p>
        </w:tc>
      </w:tr>
      <w:tr w14:paraId="10F3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770F6D94">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中信银行股份有限公司焦作分行</w:t>
            </w:r>
          </w:p>
        </w:tc>
        <w:tc>
          <w:tcPr>
            <w:tcW w:w="1230" w:type="dxa"/>
            <w:shd w:val="clear" w:color="auto" w:fill="auto"/>
            <w:vAlign w:val="center"/>
          </w:tcPr>
          <w:p w14:paraId="79374781">
            <w:pPr>
              <w:widowControl/>
              <w:tabs>
                <w:tab w:val="left" w:pos="0"/>
              </w:tabs>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周江江</w:t>
            </w:r>
          </w:p>
        </w:tc>
        <w:tc>
          <w:tcPr>
            <w:tcW w:w="1876" w:type="dxa"/>
            <w:shd w:val="clear" w:color="auto" w:fill="auto"/>
            <w:vAlign w:val="center"/>
          </w:tcPr>
          <w:p w14:paraId="7B993B6F">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17639185001</w:t>
            </w:r>
          </w:p>
        </w:tc>
        <w:tc>
          <w:tcPr>
            <w:tcW w:w="2325" w:type="dxa"/>
            <w:shd w:val="solid" w:color="FFFFFF" w:fill="auto"/>
            <w:vAlign w:val="center"/>
          </w:tcPr>
          <w:p w14:paraId="0A932D36">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焦作市塔南路1736号嘉隆国际中心</w:t>
            </w:r>
          </w:p>
        </w:tc>
      </w:tr>
      <w:tr w14:paraId="5B21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72C7B7F1">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中国光大银行股份有限公司焦作分行</w:t>
            </w:r>
          </w:p>
        </w:tc>
        <w:tc>
          <w:tcPr>
            <w:tcW w:w="1230" w:type="dxa"/>
            <w:shd w:val="solid" w:color="FFFFFF" w:fill="auto"/>
            <w:vAlign w:val="center"/>
          </w:tcPr>
          <w:p w14:paraId="2873C0D7">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王海宾</w:t>
            </w:r>
          </w:p>
        </w:tc>
        <w:tc>
          <w:tcPr>
            <w:tcW w:w="1876" w:type="dxa"/>
            <w:shd w:val="solid" w:color="FFFFFF" w:fill="auto"/>
            <w:vAlign w:val="center"/>
          </w:tcPr>
          <w:p w14:paraId="2C43BB79">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0391-8787996 13598534626</w:t>
            </w:r>
          </w:p>
        </w:tc>
        <w:tc>
          <w:tcPr>
            <w:tcW w:w="2325" w:type="dxa"/>
            <w:shd w:val="solid" w:color="FFFFFF" w:fill="auto"/>
            <w:vAlign w:val="center"/>
          </w:tcPr>
          <w:p w14:paraId="067663C0">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焦作市塔南路1736号</w:t>
            </w:r>
          </w:p>
        </w:tc>
      </w:tr>
      <w:tr w14:paraId="3F7D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94488DB">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中原银行股份有限公司焦作分行</w:t>
            </w:r>
          </w:p>
        </w:tc>
        <w:tc>
          <w:tcPr>
            <w:tcW w:w="1230" w:type="dxa"/>
            <w:shd w:val="solid" w:color="FFFFFF" w:fill="auto"/>
            <w:vAlign w:val="center"/>
          </w:tcPr>
          <w:p w14:paraId="0725C508">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赵伟</w:t>
            </w:r>
          </w:p>
        </w:tc>
        <w:tc>
          <w:tcPr>
            <w:tcW w:w="1876" w:type="dxa"/>
            <w:shd w:val="solid" w:color="FFFFFF" w:fill="auto"/>
            <w:vAlign w:val="center"/>
          </w:tcPr>
          <w:p w14:paraId="4504CD77">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0391-8796520 15738533033</w:t>
            </w:r>
          </w:p>
        </w:tc>
        <w:tc>
          <w:tcPr>
            <w:tcW w:w="2325" w:type="dxa"/>
            <w:shd w:val="solid" w:color="FFFFFF" w:fill="auto"/>
            <w:vAlign w:val="center"/>
          </w:tcPr>
          <w:p w14:paraId="1EB13936">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焦作市解放区人民路479号</w:t>
            </w:r>
          </w:p>
        </w:tc>
      </w:tr>
      <w:tr w14:paraId="4859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8E1F36E">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广发银行股份有限公司焦作分行</w:t>
            </w:r>
          </w:p>
        </w:tc>
        <w:tc>
          <w:tcPr>
            <w:tcW w:w="1230" w:type="dxa"/>
            <w:shd w:val="solid" w:color="FFFFFF" w:fill="auto"/>
            <w:vAlign w:val="center"/>
          </w:tcPr>
          <w:p w14:paraId="65049838">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张嘉强</w:t>
            </w:r>
          </w:p>
        </w:tc>
        <w:tc>
          <w:tcPr>
            <w:tcW w:w="1876" w:type="dxa"/>
            <w:shd w:val="solid" w:color="FFFFFF" w:fill="auto"/>
            <w:vAlign w:val="center"/>
          </w:tcPr>
          <w:p w14:paraId="06D08044">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0391-653785 13203910032</w:t>
            </w:r>
          </w:p>
        </w:tc>
        <w:tc>
          <w:tcPr>
            <w:tcW w:w="2325" w:type="dxa"/>
            <w:shd w:val="solid" w:color="FFFFFF" w:fill="auto"/>
            <w:vAlign w:val="center"/>
          </w:tcPr>
          <w:p w14:paraId="63DD6E25">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焦作市塔南路1736号嘉隆金融中心</w:t>
            </w:r>
          </w:p>
        </w:tc>
      </w:tr>
    </w:tbl>
    <w:p w14:paraId="38F056B4">
      <w:pPr>
        <w:widowControl/>
        <w:tabs>
          <w:tab w:val="left" w:pos="0"/>
        </w:tabs>
        <w:spacing w:line="360" w:lineRule="auto"/>
        <w:ind w:firstLine="42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备注：融资服务机构名单和人员联系方式会随时变化。具体情况可登录“焦作市政府采购网”政府采购合同融资平台查询。</w:t>
      </w:r>
    </w:p>
    <w:p w14:paraId="7F8AF8CC">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p>
    <w:sectPr>
      <w:footerReference r:id="rId7" w:type="default"/>
      <w:endnotePr>
        <w:numFmt w:val="decimal"/>
      </w:endnotePr>
      <w:pgSz w:w="11905" w:h="16838"/>
      <w:pgMar w:top="1440" w:right="1463" w:bottom="1440" w:left="1463" w:header="567" w:footer="998" w:gutter="0"/>
      <w:cols w:space="0" w:num="1"/>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763B6E9-7F5B-4005-A880-35CEEA49DC94}"/>
  </w:font>
  <w:font w:name="黑体">
    <w:panose1 w:val="02010609060101010101"/>
    <w:charset w:val="86"/>
    <w:family w:val="auto"/>
    <w:pitch w:val="default"/>
    <w:sig w:usb0="800002BF" w:usb1="38CF7CFA" w:usb2="00000016" w:usb3="00000000" w:csb0="00040001" w:csb1="00000000"/>
    <w:embedRegular r:id="rId2" w:fontKey="{F2C98533-A3E7-4F6A-A1D2-F347A9972A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8A823CD-B311-4E41-A5B6-DE54B1D1E2F9}"/>
  </w:font>
  <w:font w:name="仿宋">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embedRegular r:id="rId4" w:fontKey="{C435F95C-0B6B-4B1E-8F75-799C6E43AEBF}"/>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embedRegular r:id="rId5" w:fontKey="{BDB52F05-9840-40C7-8B2A-835FA68034CF}"/>
  </w:font>
  <w:font w:name="微软雅黑">
    <w:panose1 w:val="020B0503020204020204"/>
    <w:charset w:val="86"/>
    <w:family w:val="swiss"/>
    <w:pitch w:val="default"/>
    <w:sig w:usb0="80000287" w:usb1="2ACF3C50" w:usb2="00000016" w:usb3="00000000" w:csb0="0004001F" w:csb1="00000000"/>
    <w:embedRegular r:id="rId6" w:fontKey="{5DE95B29-8D3D-4AA1-8869-F4F56E4975F6}"/>
  </w:font>
  <w:font w:name="华文中宋">
    <w:panose1 w:val="02010600040101010101"/>
    <w:charset w:val="86"/>
    <w:family w:val="auto"/>
    <w:pitch w:val="default"/>
    <w:sig w:usb0="00000287" w:usb1="080F0000" w:usb2="00000000" w:usb3="00000000" w:csb0="0004009F" w:csb1="DFD70000"/>
    <w:embedRegular r:id="rId7" w:fontKey="{4B2668B5-7DFC-419E-BFCD-DE760648BC65}"/>
  </w:font>
  <w:font w:name="楷体">
    <w:panose1 w:val="02010609060101010101"/>
    <w:charset w:val="86"/>
    <w:family w:val="modern"/>
    <w:pitch w:val="default"/>
    <w:sig w:usb0="800002BF" w:usb1="38CF7CFA" w:usb2="00000016" w:usb3="00000000" w:csb0="00040001" w:csb1="00000000"/>
    <w:embedRegular r:id="rId8" w:fontKey="{6F749F2A-3940-406E-8E93-6CDF1DF2BFEB}"/>
  </w:font>
  <w:font w:name="方正仿宋_GBK">
    <w:altName w:val="微软雅黑"/>
    <w:panose1 w:val="00000000000000000000"/>
    <w:charset w:val="86"/>
    <w:family w:val="script"/>
    <w:pitch w:val="default"/>
    <w:sig w:usb0="00000000" w:usb1="00000000" w:usb2="00082016" w:usb3="00000000" w:csb0="00040001" w:csb1="00000000"/>
    <w:embedRegular r:id="rId9" w:fontKey="{A7EBF589-0EC1-465E-985C-1FC23A995A1E}"/>
  </w:font>
  <w:font w:name="WPSEMBED1">
    <w:panose1 w:val="02040602050305030304"/>
    <w:charset w:val="00"/>
    <w:family w:val="auto"/>
    <w:pitch w:val="default"/>
    <w:sig w:usb0="00000287" w:usb1="00000000" w:usb2="00000000" w:usb3="00000000" w:csb0="2000009F" w:csb1="DFD70000"/>
  </w:font>
  <w:font w:name="WPSEMBED2">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D2E60">
    <w:pPr>
      <w:pStyle w:val="19"/>
      <w:jc w:val="both"/>
      <w:rPr>
        <w:rFonts w:ascii="宋体" w:hAnsi="宋体"/>
        <w:sz w:val="24"/>
        <w:szCs w:val="24"/>
      </w:rPr>
    </w:pPr>
  </w:p>
  <w:p w14:paraId="664F9EE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5CE3">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536BCC">
                          <w:pPr>
                            <w:pStyle w:val="19"/>
                          </w:pPr>
                        </w:p>
                        <w:p w14:paraId="653CEDB6">
                          <w:pPr>
                            <w:pStyle w:val="19"/>
                          </w:pP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lS6nLAQAAmwMAAA4AAAAAAAAAAQAgAAAAHgEAAGRycy9lMm9E&#10;b2MueG1sUEsFBgAAAAAGAAYAWQEAAFsFAAAAAA==&#10;">
              <v:fill on="f" focussize="0,0"/>
              <v:stroke on="f"/>
              <v:imagedata o:title=""/>
              <o:lock v:ext="edit" aspectratio="f"/>
              <v:textbox inset="0mm,0mm,0mm,0mm" style="mso-fit-shape-to-text:t;">
                <w:txbxContent>
                  <w:p w14:paraId="40536BCC">
                    <w:pPr>
                      <w:pStyle w:val="19"/>
                    </w:pPr>
                  </w:p>
                  <w:p w14:paraId="653CEDB6">
                    <w:pPr>
                      <w:pStyle w:val="1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5821">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DDB964">
                          <w:pPr>
                            <w:pStyle w:val="19"/>
                          </w:pPr>
                          <w:r>
                            <w:t xml:space="preserve">— </w:t>
                          </w:r>
                          <w:r>
                            <w:fldChar w:fldCharType="begin"/>
                          </w:r>
                          <w:r>
                            <w:instrText xml:space="preserve"> PAGE  \* MERGEFORMAT </w:instrText>
                          </w:r>
                          <w:r>
                            <w:fldChar w:fldCharType="separate"/>
                          </w:r>
                          <w:r>
                            <w:t>43</w:t>
                          </w:r>
                          <w:r>
                            <w:fldChar w:fldCharType="end"/>
                          </w:r>
                          <w:r>
                            <w:t xml:space="preserve"> —</w:t>
                          </w:r>
                        </w:p>
                      </w:txbxContent>
                    </wps:txbx>
                    <wps:bodyPr vert="horz" wrap="none" lIns="0" tIns="0" rIns="0" bIns="0" anchor="t" anchorCtr="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tSa+U2AEAALQDAAAOAAAAAAAAAAEAIAAA&#10;AB4BAABkcnMvZTJvRG9jLnhtbFBLBQYAAAAABgAGAFkBAABoBQAAAAA=&#10;">
              <v:fill on="f" focussize="0,0"/>
              <v:stroke on="f"/>
              <v:imagedata o:title=""/>
              <o:lock v:ext="edit" aspectratio="f"/>
              <v:textbox inset="0mm,0mm,0mm,0mm" style="mso-fit-shape-to-text:t;">
                <w:txbxContent>
                  <w:p w14:paraId="38DDB964">
                    <w:pPr>
                      <w:pStyle w:val="19"/>
                    </w:pPr>
                    <w:r>
                      <w:t xml:space="preserve">— </w:t>
                    </w:r>
                    <w:r>
                      <w:fldChar w:fldCharType="begin"/>
                    </w:r>
                    <w:r>
                      <w:instrText xml:space="preserve"> PAGE  \* MERGEFORMAT </w:instrText>
                    </w:r>
                    <w:r>
                      <w:fldChar w:fldCharType="separate"/>
                    </w:r>
                    <w:r>
                      <w:t>43</w:t>
                    </w:r>
                    <w:r>
                      <w:fldChar w:fldCharType="end"/>
                    </w:r>
                    <w:r>
                      <w:t xml:space="preserve"> —</w:t>
                    </w:r>
                  </w:p>
                </w:txbxContent>
              </v:textbox>
            </v:shape>
          </w:pict>
        </mc:Fallback>
      </mc:AlternateContent>
    </w:r>
    <w:r>
      <w:rPr>
        <w:rFonts w:hint="eastAsia"/>
      </w:rPr>
      <w:t xml:space="preserve">                                                           </w:t>
    </w:r>
  </w:p>
  <w:p w14:paraId="5EBD1917">
    <w:pPr>
      <w:pStyle w:val="19"/>
      <w:jc w:val="center"/>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FE80">
    <w:pPr>
      <w:pStyle w:val="19"/>
      <w:ind w:firstLine="4620" w:firstLineChars="165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9E62315">
                          <w:pPr>
                            <w:pStyle w:val="19"/>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r>
                            <w:rPr>
                              <w:rFonts w:hint="eastAsia"/>
                            </w:rPr>
                            <w:t xml:space="preserve"> —</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mCS9MAAAAFAQAADwAA&#10;AAAAAAABACAAAAAiAAAAZHJzL2Rvd25yZXYueG1sUEsBAhQAFAAAAAgAh07iQM0kzNfiAQAAvgMA&#10;AA4AAAAAAAAAAQAgAAAAIgEAAGRycy9lMm9Eb2MueG1sUEsFBgAAAAAGAAYAWQEAAHYFAAAAAA==&#10;">
              <v:fill on="f" focussize="0,0"/>
              <v:stroke on="f" weight="1.25pt"/>
              <v:imagedata o:title=""/>
              <o:lock v:ext="edit" aspectratio="f"/>
              <v:textbox inset="0mm,0mm,0mm,0mm" style="mso-fit-shape-to-text:t;">
                <w:txbxContent>
                  <w:p w14:paraId="09E62315">
                    <w:pPr>
                      <w:pStyle w:val="19"/>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9A4A">
    <w:pPr>
      <w:pStyle w:val="20"/>
      <w:pBdr>
        <w:bottom w:val="none" w:color="auto" w:sz="0" w:space="1"/>
      </w:pBdr>
      <w:tabs>
        <w:tab w:val="left" w:pos="511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974FB"/>
    <w:multiLevelType w:val="singleLevel"/>
    <w:tmpl w:val="A58974FB"/>
    <w:lvl w:ilvl="0" w:tentative="0">
      <w:start w:val="1"/>
      <w:numFmt w:val="decimal"/>
      <w:suff w:val="space"/>
      <w:lvlText w:val="%1."/>
      <w:lvlJc w:val="left"/>
    </w:lvl>
  </w:abstractNum>
  <w:abstractNum w:abstractNumId="1">
    <w:nsid w:val="A8029FD9"/>
    <w:multiLevelType w:val="singleLevel"/>
    <w:tmpl w:val="A8029FD9"/>
    <w:lvl w:ilvl="0" w:tentative="0">
      <w:start w:val="1"/>
      <w:numFmt w:val="decimal"/>
      <w:suff w:val="nothing"/>
      <w:lvlText w:val="%1、"/>
      <w:lvlJc w:val="left"/>
    </w:lvl>
  </w:abstractNum>
  <w:abstractNum w:abstractNumId="2">
    <w:nsid w:val="B3587794"/>
    <w:multiLevelType w:val="singleLevel"/>
    <w:tmpl w:val="B3587794"/>
    <w:lvl w:ilvl="0" w:tentative="0">
      <w:start w:val="1"/>
      <w:numFmt w:val="decimal"/>
      <w:suff w:val="nothing"/>
      <w:lvlText w:val="（%1）"/>
      <w:lvlJc w:val="left"/>
    </w:lvl>
  </w:abstractNum>
  <w:abstractNum w:abstractNumId="3">
    <w:nsid w:val="B7CCEAB9"/>
    <w:multiLevelType w:val="singleLevel"/>
    <w:tmpl w:val="B7CCEAB9"/>
    <w:lvl w:ilvl="0" w:tentative="0">
      <w:start w:val="1"/>
      <w:numFmt w:val="decimal"/>
      <w:suff w:val="space"/>
      <w:lvlText w:val="%1."/>
      <w:lvlJc w:val="left"/>
      <w:pPr>
        <w:ind w:left="600" w:firstLine="0"/>
      </w:pPr>
    </w:lvl>
  </w:abstractNum>
  <w:abstractNum w:abstractNumId="4">
    <w:nsid w:val="B940B7CB"/>
    <w:multiLevelType w:val="singleLevel"/>
    <w:tmpl w:val="B940B7CB"/>
    <w:lvl w:ilvl="0" w:tentative="0">
      <w:start w:val="3"/>
      <w:numFmt w:val="decimal"/>
      <w:suff w:val="nothing"/>
      <w:lvlText w:val="%1、"/>
      <w:lvlJc w:val="left"/>
    </w:lvl>
  </w:abstractNum>
  <w:abstractNum w:abstractNumId="5">
    <w:nsid w:val="E0F30A83"/>
    <w:multiLevelType w:val="singleLevel"/>
    <w:tmpl w:val="E0F30A83"/>
    <w:lvl w:ilvl="0" w:tentative="0">
      <w:start w:val="1"/>
      <w:numFmt w:val="decimal"/>
      <w:suff w:val="space"/>
      <w:lvlText w:val="%1."/>
      <w:lvlJc w:val="left"/>
      <w:pPr>
        <w:ind w:left="-60"/>
      </w:pPr>
      <w:rPr>
        <w:rFonts w:hint="default"/>
        <w:i w:val="0"/>
        <w:iCs w:val="0"/>
        <w:color w:val="000000"/>
      </w:rPr>
    </w:lvl>
  </w:abstractNum>
  <w:abstractNum w:abstractNumId="6">
    <w:nsid w:val="0CD3C423"/>
    <w:multiLevelType w:val="singleLevel"/>
    <w:tmpl w:val="0CD3C423"/>
    <w:lvl w:ilvl="0" w:tentative="0">
      <w:start w:val="1"/>
      <w:numFmt w:val="decimal"/>
      <w:suff w:val="space"/>
      <w:lvlText w:val="%1."/>
      <w:lvlJc w:val="left"/>
    </w:lvl>
  </w:abstractNum>
  <w:abstractNum w:abstractNumId="7">
    <w:nsid w:val="1CF20B05"/>
    <w:multiLevelType w:val="singleLevel"/>
    <w:tmpl w:val="1CF20B05"/>
    <w:lvl w:ilvl="0" w:tentative="0">
      <w:start w:val="1"/>
      <w:numFmt w:val="decimal"/>
      <w:suff w:val="nothing"/>
      <w:lvlText w:val="%1、"/>
      <w:lvlJc w:val="left"/>
    </w:lvl>
  </w:abstractNum>
  <w:abstractNum w:abstractNumId="8">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6261BF8E"/>
    <w:multiLevelType w:val="singleLevel"/>
    <w:tmpl w:val="6261BF8E"/>
    <w:lvl w:ilvl="0" w:tentative="0">
      <w:start w:val="7"/>
      <w:numFmt w:val="decimal"/>
      <w:suff w:val="space"/>
      <w:lvlText w:val="%1."/>
      <w:lvlJc w:val="left"/>
    </w:lvl>
  </w:abstractNum>
  <w:num w:numId="1">
    <w:abstractNumId w:val="4"/>
  </w:num>
  <w:num w:numId="2">
    <w:abstractNumId w:val="7"/>
  </w:num>
  <w:num w:numId="3">
    <w:abstractNumId w:val="5"/>
  </w:num>
  <w:num w:numId="4">
    <w:abstractNumId w:val="6"/>
  </w:num>
  <w:num w:numId="5">
    <w:abstractNumId w:val="9"/>
  </w:num>
  <w:num w:numId="6">
    <w:abstractNumId w:val="8"/>
  </w:num>
  <w:num w:numId="7">
    <w:abstractNumId w:val="1"/>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documentProtection w:enforcement="0"/>
  <w:defaultTabStop w:val="420"/>
  <w:drawingGridHorizontalSpacing w:val="210"/>
  <w:drawingGridVerticalSpacing w:val="195"/>
  <w:noPunctuationKerning w:val="1"/>
  <w:characterSpacingControl w:val="compressPunctuation"/>
  <w:noLineBreaksAfter w:lang="zh-CN" w:val="([{·‘“〈《「『【〔〖（．［｛￡￥"/>
  <w:noLineBreaksBefore w:lang="zh-CN" w:val="!),.:;?]}¨·ˇˉ―‖’”…∶、。〃々〉》」』】〕〗！＂＇），．：；？］｀｜｝～￠"/>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mOTJkNTQ1MjdmNWUwMjE2NDY3MGM0ZjlmY2RiMDYifQ=="/>
  </w:docVars>
  <w:rsids>
    <w:rsidRoot w:val="00962401"/>
    <w:rsid w:val="000015BE"/>
    <w:rsid w:val="00002910"/>
    <w:rsid w:val="00002CCB"/>
    <w:rsid w:val="00003EE4"/>
    <w:rsid w:val="00004800"/>
    <w:rsid w:val="00005811"/>
    <w:rsid w:val="00005E52"/>
    <w:rsid w:val="00012E57"/>
    <w:rsid w:val="000140D8"/>
    <w:rsid w:val="00014365"/>
    <w:rsid w:val="00014748"/>
    <w:rsid w:val="00016EE9"/>
    <w:rsid w:val="000271A8"/>
    <w:rsid w:val="00027F07"/>
    <w:rsid w:val="0003047E"/>
    <w:rsid w:val="000306FA"/>
    <w:rsid w:val="00030D7D"/>
    <w:rsid w:val="00035D61"/>
    <w:rsid w:val="000442DD"/>
    <w:rsid w:val="000466A8"/>
    <w:rsid w:val="0005195D"/>
    <w:rsid w:val="00057D61"/>
    <w:rsid w:val="00064A1E"/>
    <w:rsid w:val="0006553D"/>
    <w:rsid w:val="000657C8"/>
    <w:rsid w:val="00066296"/>
    <w:rsid w:val="000675E5"/>
    <w:rsid w:val="00070055"/>
    <w:rsid w:val="00070D76"/>
    <w:rsid w:val="000759CA"/>
    <w:rsid w:val="00081FD6"/>
    <w:rsid w:val="000913FE"/>
    <w:rsid w:val="00097FE1"/>
    <w:rsid w:val="000A0C90"/>
    <w:rsid w:val="000A3CB1"/>
    <w:rsid w:val="000A3F81"/>
    <w:rsid w:val="000A4A79"/>
    <w:rsid w:val="000A65E7"/>
    <w:rsid w:val="000B054E"/>
    <w:rsid w:val="000B2ED5"/>
    <w:rsid w:val="000C0AFC"/>
    <w:rsid w:val="000C19C0"/>
    <w:rsid w:val="000C3ED3"/>
    <w:rsid w:val="000C70EA"/>
    <w:rsid w:val="000C76C1"/>
    <w:rsid w:val="000C7AD2"/>
    <w:rsid w:val="000D0768"/>
    <w:rsid w:val="000D5A3A"/>
    <w:rsid w:val="000D5C5A"/>
    <w:rsid w:val="000D5F90"/>
    <w:rsid w:val="000D7967"/>
    <w:rsid w:val="000E2B9C"/>
    <w:rsid w:val="000E2FAC"/>
    <w:rsid w:val="000E38D9"/>
    <w:rsid w:val="000E5421"/>
    <w:rsid w:val="000E72D4"/>
    <w:rsid w:val="000F0CEF"/>
    <w:rsid w:val="000F1A1B"/>
    <w:rsid w:val="000F1E40"/>
    <w:rsid w:val="000F5FDF"/>
    <w:rsid w:val="001000C0"/>
    <w:rsid w:val="001002AE"/>
    <w:rsid w:val="00104A6E"/>
    <w:rsid w:val="00107DA3"/>
    <w:rsid w:val="001155DA"/>
    <w:rsid w:val="0011711F"/>
    <w:rsid w:val="00120B64"/>
    <w:rsid w:val="00124B0C"/>
    <w:rsid w:val="0012747F"/>
    <w:rsid w:val="0013122B"/>
    <w:rsid w:val="00131845"/>
    <w:rsid w:val="00137A42"/>
    <w:rsid w:val="00137D0A"/>
    <w:rsid w:val="00151139"/>
    <w:rsid w:val="0015121C"/>
    <w:rsid w:val="0015190E"/>
    <w:rsid w:val="00152681"/>
    <w:rsid w:val="00152684"/>
    <w:rsid w:val="00154729"/>
    <w:rsid w:val="00156E71"/>
    <w:rsid w:val="0015749B"/>
    <w:rsid w:val="00165A12"/>
    <w:rsid w:val="00173BD3"/>
    <w:rsid w:val="00173DEC"/>
    <w:rsid w:val="00176D90"/>
    <w:rsid w:val="001824D4"/>
    <w:rsid w:val="00185F08"/>
    <w:rsid w:val="00191B01"/>
    <w:rsid w:val="00193F9B"/>
    <w:rsid w:val="00195636"/>
    <w:rsid w:val="001A0219"/>
    <w:rsid w:val="001A1C2D"/>
    <w:rsid w:val="001A1CC0"/>
    <w:rsid w:val="001A360B"/>
    <w:rsid w:val="001B287E"/>
    <w:rsid w:val="001B40C9"/>
    <w:rsid w:val="001B421C"/>
    <w:rsid w:val="001B461C"/>
    <w:rsid w:val="001B7BE6"/>
    <w:rsid w:val="001C0D5E"/>
    <w:rsid w:val="001C3045"/>
    <w:rsid w:val="001C483A"/>
    <w:rsid w:val="001C579B"/>
    <w:rsid w:val="001D327A"/>
    <w:rsid w:val="001D35DD"/>
    <w:rsid w:val="001D73FC"/>
    <w:rsid w:val="001D7A66"/>
    <w:rsid w:val="001E3B0B"/>
    <w:rsid w:val="001E65DF"/>
    <w:rsid w:val="001E6659"/>
    <w:rsid w:val="001E684B"/>
    <w:rsid w:val="001F33A6"/>
    <w:rsid w:val="001F5CAB"/>
    <w:rsid w:val="001F63F9"/>
    <w:rsid w:val="001F6615"/>
    <w:rsid w:val="002025B9"/>
    <w:rsid w:val="002047FC"/>
    <w:rsid w:val="00206581"/>
    <w:rsid w:val="002112AA"/>
    <w:rsid w:val="00214891"/>
    <w:rsid w:val="002229B5"/>
    <w:rsid w:val="00224CB7"/>
    <w:rsid w:val="0023037D"/>
    <w:rsid w:val="00231C2F"/>
    <w:rsid w:val="00236EA1"/>
    <w:rsid w:val="00241E31"/>
    <w:rsid w:val="00242B18"/>
    <w:rsid w:val="00245F60"/>
    <w:rsid w:val="002509F5"/>
    <w:rsid w:val="002515BD"/>
    <w:rsid w:val="0026434B"/>
    <w:rsid w:val="00264C13"/>
    <w:rsid w:val="00265FB4"/>
    <w:rsid w:val="00276C52"/>
    <w:rsid w:val="00282407"/>
    <w:rsid w:val="00283B0B"/>
    <w:rsid w:val="00286C3B"/>
    <w:rsid w:val="0028727C"/>
    <w:rsid w:val="00287BE1"/>
    <w:rsid w:val="00291610"/>
    <w:rsid w:val="00291955"/>
    <w:rsid w:val="002A13D9"/>
    <w:rsid w:val="002A1A10"/>
    <w:rsid w:val="002A3306"/>
    <w:rsid w:val="002A37D6"/>
    <w:rsid w:val="002A41B8"/>
    <w:rsid w:val="002A4DA6"/>
    <w:rsid w:val="002B316F"/>
    <w:rsid w:val="002B3D5B"/>
    <w:rsid w:val="002B4C83"/>
    <w:rsid w:val="002B4DFA"/>
    <w:rsid w:val="002B5805"/>
    <w:rsid w:val="002B72BA"/>
    <w:rsid w:val="002C23EA"/>
    <w:rsid w:val="002C2860"/>
    <w:rsid w:val="002C40B6"/>
    <w:rsid w:val="002C4851"/>
    <w:rsid w:val="002D5E00"/>
    <w:rsid w:val="002D74D2"/>
    <w:rsid w:val="002E118D"/>
    <w:rsid w:val="002E154B"/>
    <w:rsid w:val="002E677D"/>
    <w:rsid w:val="002E7406"/>
    <w:rsid w:val="002F176C"/>
    <w:rsid w:val="002F5686"/>
    <w:rsid w:val="002F6186"/>
    <w:rsid w:val="002F671D"/>
    <w:rsid w:val="002F6756"/>
    <w:rsid w:val="002F7FB2"/>
    <w:rsid w:val="0030329D"/>
    <w:rsid w:val="00305FBF"/>
    <w:rsid w:val="00311B45"/>
    <w:rsid w:val="00313D5A"/>
    <w:rsid w:val="00314B77"/>
    <w:rsid w:val="00316BA4"/>
    <w:rsid w:val="00321BB0"/>
    <w:rsid w:val="00324077"/>
    <w:rsid w:val="00325063"/>
    <w:rsid w:val="00332D35"/>
    <w:rsid w:val="00334330"/>
    <w:rsid w:val="00337E14"/>
    <w:rsid w:val="00340DAC"/>
    <w:rsid w:val="00342EAD"/>
    <w:rsid w:val="003452FC"/>
    <w:rsid w:val="00347660"/>
    <w:rsid w:val="00356C1F"/>
    <w:rsid w:val="00363A8F"/>
    <w:rsid w:val="003706CF"/>
    <w:rsid w:val="0037249B"/>
    <w:rsid w:val="0037711A"/>
    <w:rsid w:val="0038229E"/>
    <w:rsid w:val="003834D7"/>
    <w:rsid w:val="00384A16"/>
    <w:rsid w:val="003A23EE"/>
    <w:rsid w:val="003A38E2"/>
    <w:rsid w:val="003A3A87"/>
    <w:rsid w:val="003A7EDF"/>
    <w:rsid w:val="003B0D78"/>
    <w:rsid w:val="003B7C0D"/>
    <w:rsid w:val="003C432B"/>
    <w:rsid w:val="003C4C4E"/>
    <w:rsid w:val="003D109F"/>
    <w:rsid w:val="003D1845"/>
    <w:rsid w:val="003D3D71"/>
    <w:rsid w:val="003D4809"/>
    <w:rsid w:val="003E0B8B"/>
    <w:rsid w:val="003E1F4D"/>
    <w:rsid w:val="003E4F95"/>
    <w:rsid w:val="003E7AF0"/>
    <w:rsid w:val="003F14B5"/>
    <w:rsid w:val="003F300E"/>
    <w:rsid w:val="003F6250"/>
    <w:rsid w:val="003F6626"/>
    <w:rsid w:val="003F7889"/>
    <w:rsid w:val="00403BE5"/>
    <w:rsid w:val="004123C8"/>
    <w:rsid w:val="004152C5"/>
    <w:rsid w:val="00416C4B"/>
    <w:rsid w:val="00416FDA"/>
    <w:rsid w:val="004172E7"/>
    <w:rsid w:val="0041796F"/>
    <w:rsid w:val="004211F4"/>
    <w:rsid w:val="004252FC"/>
    <w:rsid w:val="00426DE4"/>
    <w:rsid w:val="00433863"/>
    <w:rsid w:val="00435D42"/>
    <w:rsid w:val="00437BF2"/>
    <w:rsid w:val="004435DF"/>
    <w:rsid w:val="00443D97"/>
    <w:rsid w:val="00445035"/>
    <w:rsid w:val="00447636"/>
    <w:rsid w:val="004477CD"/>
    <w:rsid w:val="004507D3"/>
    <w:rsid w:val="004509CA"/>
    <w:rsid w:val="0045185D"/>
    <w:rsid w:val="00452B29"/>
    <w:rsid w:val="0045441C"/>
    <w:rsid w:val="00456162"/>
    <w:rsid w:val="00456CAB"/>
    <w:rsid w:val="00460DD9"/>
    <w:rsid w:val="00462877"/>
    <w:rsid w:val="00464920"/>
    <w:rsid w:val="00467623"/>
    <w:rsid w:val="00470C98"/>
    <w:rsid w:val="00475AFC"/>
    <w:rsid w:val="004801BA"/>
    <w:rsid w:val="0048036E"/>
    <w:rsid w:val="00482FE1"/>
    <w:rsid w:val="00486331"/>
    <w:rsid w:val="004918FA"/>
    <w:rsid w:val="0049273C"/>
    <w:rsid w:val="00495B2A"/>
    <w:rsid w:val="00497F77"/>
    <w:rsid w:val="004A05AC"/>
    <w:rsid w:val="004A0A27"/>
    <w:rsid w:val="004A374A"/>
    <w:rsid w:val="004A44FA"/>
    <w:rsid w:val="004A5112"/>
    <w:rsid w:val="004A5C86"/>
    <w:rsid w:val="004A5F9F"/>
    <w:rsid w:val="004A6058"/>
    <w:rsid w:val="004B294E"/>
    <w:rsid w:val="004B695F"/>
    <w:rsid w:val="004C0B26"/>
    <w:rsid w:val="004C2925"/>
    <w:rsid w:val="004C3C94"/>
    <w:rsid w:val="004C4322"/>
    <w:rsid w:val="004C5A66"/>
    <w:rsid w:val="004E0E1D"/>
    <w:rsid w:val="004E106D"/>
    <w:rsid w:val="004E18D0"/>
    <w:rsid w:val="004E1D2B"/>
    <w:rsid w:val="004E392D"/>
    <w:rsid w:val="004F1A1C"/>
    <w:rsid w:val="004F3624"/>
    <w:rsid w:val="004F3AE2"/>
    <w:rsid w:val="004F60E3"/>
    <w:rsid w:val="00500644"/>
    <w:rsid w:val="005015B6"/>
    <w:rsid w:val="00504526"/>
    <w:rsid w:val="00505D36"/>
    <w:rsid w:val="00510B4C"/>
    <w:rsid w:val="00512B3D"/>
    <w:rsid w:val="005146A4"/>
    <w:rsid w:val="00525D53"/>
    <w:rsid w:val="00530F7F"/>
    <w:rsid w:val="00532540"/>
    <w:rsid w:val="005354E2"/>
    <w:rsid w:val="00536A03"/>
    <w:rsid w:val="00540717"/>
    <w:rsid w:val="00541821"/>
    <w:rsid w:val="00541E7D"/>
    <w:rsid w:val="00543870"/>
    <w:rsid w:val="00545E31"/>
    <w:rsid w:val="00547346"/>
    <w:rsid w:val="0055000C"/>
    <w:rsid w:val="00550703"/>
    <w:rsid w:val="00552981"/>
    <w:rsid w:val="00562E76"/>
    <w:rsid w:val="00564676"/>
    <w:rsid w:val="00566102"/>
    <w:rsid w:val="00566B99"/>
    <w:rsid w:val="00571719"/>
    <w:rsid w:val="005760DA"/>
    <w:rsid w:val="005855F2"/>
    <w:rsid w:val="00587196"/>
    <w:rsid w:val="0059102C"/>
    <w:rsid w:val="0059393E"/>
    <w:rsid w:val="00594F0B"/>
    <w:rsid w:val="00596F12"/>
    <w:rsid w:val="005A2AD4"/>
    <w:rsid w:val="005A5629"/>
    <w:rsid w:val="005B331A"/>
    <w:rsid w:val="005B39BC"/>
    <w:rsid w:val="005B42AF"/>
    <w:rsid w:val="005B6680"/>
    <w:rsid w:val="005C67F7"/>
    <w:rsid w:val="005C7018"/>
    <w:rsid w:val="005D5818"/>
    <w:rsid w:val="005E0F55"/>
    <w:rsid w:val="005E1E42"/>
    <w:rsid w:val="005E2BC8"/>
    <w:rsid w:val="005E5015"/>
    <w:rsid w:val="005E6046"/>
    <w:rsid w:val="005E7AA0"/>
    <w:rsid w:val="005F7277"/>
    <w:rsid w:val="006009D2"/>
    <w:rsid w:val="00602203"/>
    <w:rsid w:val="0060224B"/>
    <w:rsid w:val="00606D58"/>
    <w:rsid w:val="006071D4"/>
    <w:rsid w:val="00610037"/>
    <w:rsid w:val="00615313"/>
    <w:rsid w:val="00620AA6"/>
    <w:rsid w:val="00620C46"/>
    <w:rsid w:val="00621D02"/>
    <w:rsid w:val="0062246D"/>
    <w:rsid w:val="00623957"/>
    <w:rsid w:val="00625496"/>
    <w:rsid w:val="00633EB5"/>
    <w:rsid w:val="00634E79"/>
    <w:rsid w:val="00636066"/>
    <w:rsid w:val="00640168"/>
    <w:rsid w:val="006409D9"/>
    <w:rsid w:val="00643D93"/>
    <w:rsid w:val="0064617E"/>
    <w:rsid w:val="00647B9A"/>
    <w:rsid w:val="00650918"/>
    <w:rsid w:val="006535D3"/>
    <w:rsid w:val="00654B64"/>
    <w:rsid w:val="00655011"/>
    <w:rsid w:val="00656D53"/>
    <w:rsid w:val="00661550"/>
    <w:rsid w:val="006617A5"/>
    <w:rsid w:val="006625EB"/>
    <w:rsid w:val="00662A9E"/>
    <w:rsid w:val="00663CC6"/>
    <w:rsid w:val="00663E68"/>
    <w:rsid w:val="00666853"/>
    <w:rsid w:val="006722C9"/>
    <w:rsid w:val="00676DA8"/>
    <w:rsid w:val="00686AE1"/>
    <w:rsid w:val="0069028D"/>
    <w:rsid w:val="006964EB"/>
    <w:rsid w:val="00696601"/>
    <w:rsid w:val="006A1077"/>
    <w:rsid w:val="006A212E"/>
    <w:rsid w:val="006A35A5"/>
    <w:rsid w:val="006A42F9"/>
    <w:rsid w:val="006A4641"/>
    <w:rsid w:val="006A6023"/>
    <w:rsid w:val="006A6A99"/>
    <w:rsid w:val="006A7BF2"/>
    <w:rsid w:val="006B3865"/>
    <w:rsid w:val="006B6389"/>
    <w:rsid w:val="006C028D"/>
    <w:rsid w:val="006C0D49"/>
    <w:rsid w:val="006C2188"/>
    <w:rsid w:val="006C48BA"/>
    <w:rsid w:val="006C70B1"/>
    <w:rsid w:val="006C78DF"/>
    <w:rsid w:val="006D0945"/>
    <w:rsid w:val="006D0CD2"/>
    <w:rsid w:val="006D55E1"/>
    <w:rsid w:val="006E01B8"/>
    <w:rsid w:val="006E0B01"/>
    <w:rsid w:val="006E26A9"/>
    <w:rsid w:val="006E32B0"/>
    <w:rsid w:val="006E3304"/>
    <w:rsid w:val="006E4439"/>
    <w:rsid w:val="006E4EEC"/>
    <w:rsid w:val="006E63A4"/>
    <w:rsid w:val="006F1173"/>
    <w:rsid w:val="006F3174"/>
    <w:rsid w:val="006F5F11"/>
    <w:rsid w:val="006F6716"/>
    <w:rsid w:val="006F682D"/>
    <w:rsid w:val="00700BB3"/>
    <w:rsid w:val="007013A8"/>
    <w:rsid w:val="00701977"/>
    <w:rsid w:val="00702777"/>
    <w:rsid w:val="007056AC"/>
    <w:rsid w:val="00707FC9"/>
    <w:rsid w:val="00710578"/>
    <w:rsid w:val="007144C0"/>
    <w:rsid w:val="007163C4"/>
    <w:rsid w:val="00720389"/>
    <w:rsid w:val="007228F0"/>
    <w:rsid w:val="00722A72"/>
    <w:rsid w:val="00731E34"/>
    <w:rsid w:val="00732032"/>
    <w:rsid w:val="00734634"/>
    <w:rsid w:val="00735AD0"/>
    <w:rsid w:val="00740C43"/>
    <w:rsid w:val="00745258"/>
    <w:rsid w:val="007475AB"/>
    <w:rsid w:val="007525AE"/>
    <w:rsid w:val="007610FD"/>
    <w:rsid w:val="007617C6"/>
    <w:rsid w:val="007617CE"/>
    <w:rsid w:val="00762FA4"/>
    <w:rsid w:val="00763475"/>
    <w:rsid w:val="00764C08"/>
    <w:rsid w:val="007659D5"/>
    <w:rsid w:val="00766D07"/>
    <w:rsid w:val="00773E69"/>
    <w:rsid w:val="0077592C"/>
    <w:rsid w:val="0078328F"/>
    <w:rsid w:val="00784AAA"/>
    <w:rsid w:val="00786A12"/>
    <w:rsid w:val="007951C0"/>
    <w:rsid w:val="00797BF4"/>
    <w:rsid w:val="007A1F96"/>
    <w:rsid w:val="007A2137"/>
    <w:rsid w:val="007A2941"/>
    <w:rsid w:val="007A2ECA"/>
    <w:rsid w:val="007A3348"/>
    <w:rsid w:val="007A6E78"/>
    <w:rsid w:val="007A7D3A"/>
    <w:rsid w:val="007B1AF5"/>
    <w:rsid w:val="007B271D"/>
    <w:rsid w:val="007B3DF4"/>
    <w:rsid w:val="007B46F4"/>
    <w:rsid w:val="007B510E"/>
    <w:rsid w:val="007C12EF"/>
    <w:rsid w:val="007C3E8C"/>
    <w:rsid w:val="007C749A"/>
    <w:rsid w:val="007D2591"/>
    <w:rsid w:val="007D3A99"/>
    <w:rsid w:val="007D3E9D"/>
    <w:rsid w:val="007D653F"/>
    <w:rsid w:val="007D790C"/>
    <w:rsid w:val="007D7BAB"/>
    <w:rsid w:val="007E1146"/>
    <w:rsid w:val="007E54B6"/>
    <w:rsid w:val="007E7118"/>
    <w:rsid w:val="007E7372"/>
    <w:rsid w:val="007E7678"/>
    <w:rsid w:val="007F38B9"/>
    <w:rsid w:val="007F51B6"/>
    <w:rsid w:val="00803DFB"/>
    <w:rsid w:val="00804C18"/>
    <w:rsid w:val="008101B0"/>
    <w:rsid w:val="00812885"/>
    <w:rsid w:val="00813FA7"/>
    <w:rsid w:val="0081524E"/>
    <w:rsid w:val="00817770"/>
    <w:rsid w:val="00817F29"/>
    <w:rsid w:val="00824F0F"/>
    <w:rsid w:val="00825853"/>
    <w:rsid w:val="00826B11"/>
    <w:rsid w:val="00835F44"/>
    <w:rsid w:val="0083638D"/>
    <w:rsid w:val="00837B83"/>
    <w:rsid w:val="00840E98"/>
    <w:rsid w:val="008513BF"/>
    <w:rsid w:val="008526D8"/>
    <w:rsid w:val="0085574E"/>
    <w:rsid w:val="008629A8"/>
    <w:rsid w:val="008633A3"/>
    <w:rsid w:val="00864742"/>
    <w:rsid w:val="00866489"/>
    <w:rsid w:val="00866B3D"/>
    <w:rsid w:val="00867D21"/>
    <w:rsid w:val="00871A49"/>
    <w:rsid w:val="00872164"/>
    <w:rsid w:val="00874806"/>
    <w:rsid w:val="0087521E"/>
    <w:rsid w:val="008806F8"/>
    <w:rsid w:val="00880B10"/>
    <w:rsid w:val="00881E45"/>
    <w:rsid w:val="00882D3C"/>
    <w:rsid w:val="00882F82"/>
    <w:rsid w:val="008849FC"/>
    <w:rsid w:val="008854F2"/>
    <w:rsid w:val="00886BA8"/>
    <w:rsid w:val="00887460"/>
    <w:rsid w:val="008915C6"/>
    <w:rsid w:val="00891D54"/>
    <w:rsid w:val="0089205E"/>
    <w:rsid w:val="00897021"/>
    <w:rsid w:val="0089787D"/>
    <w:rsid w:val="008A1772"/>
    <w:rsid w:val="008A393D"/>
    <w:rsid w:val="008A3CB1"/>
    <w:rsid w:val="008A4A89"/>
    <w:rsid w:val="008A7EFB"/>
    <w:rsid w:val="008B2889"/>
    <w:rsid w:val="008B610A"/>
    <w:rsid w:val="008C14E0"/>
    <w:rsid w:val="008C3F35"/>
    <w:rsid w:val="008C60C7"/>
    <w:rsid w:val="008C6B68"/>
    <w:rsid w:val="008D0667"/>
    <w:rsid w:val="008D06BA"/>
    <w:rsid w:val="008D0831"/>
    <w:rsid w:val="008D28DB"/>
    <w:rsid w:val="008D4206"/>
    <w:rsid w:val="008D6804"/>
    <w:rsid w:val="008D688E"/>
    <w:rsid w:val="008E184B"/>
    <w:rsid w:val="008E3382"/>
    <w:rsid w:val="008F213E"/>
    <w:rsid w:val="008F4BE4"/>
    <w:rsid w:val="009002E4"/>
    <w:rsid w:val="00900A48"/>
    <w:rsid w:val="00900CA8"/>
    <w:rsid w:val="009025B9"/>
    <w:rsid w:val="00902F6B"/>
    <w:rsid w:val="009051EA"/>
    <w:rsid w:val="0091271C"/>
    <w:rsid w:val="00912787"/>
    <w:rsid w:val="00914314"/>
    <w:rsid w:val="009145C2"/>
    <w:rsid w:val="009214D0"/>
    <w:rsid w:val="00921AC0"/>
    <w:rsid w:val="00924E86"/>
    <w:rsid w:val="00925414"/>
    <w:rsid w:val="00930B0F"/>
    <w:rsid w:val="00931719"/>
    <w:rsid w:val="0093506A"/>
    <w:rsid w:val="00935A5D"/>
    <w:rsid w:val="00935D15"/>
    <w:rsid w:val="00936473"/>
    <w:rsid w:val="0093711B"/>
    <w:rsid w:val="0094210E"/>
    <w:rsid w:val="00942556"/>
    <w:rsid w:val="009459C9"/>
    <w:rsid w:val="00946E2D"/>
    <w:rsid w:val="0094701C"/>
    <w:rsid w:val="00950829"/>
    <w:rsid w:val="00951745"/>
    <w:rsid w:val="00955239"/>
    <w:rsid w:val="00955907"/>
    <w:rsid w:val="00957134"/>
    <w:rsid w:val="00962401"/>
    <w:rsid w:val="00964439"/>
    <w:rsid w:val="00965FA1"/>
    <w:rsid w:val="00966E33"/>
    <w:rsid w:val="009671C6"/>
    <w:rsid w:val="009676C8"/>
    <w:rsid w:val="00967E90"/>
    <w:rsid w:val="00971F76"/>
    <w:rsid w:val="009732D6"/>
    <w:rsid w:val="0097382F"/>
    <w:rsid w:val="00975565"/>
    <w:rsid w:val="00976F17"/>
    <w:rsid w:val="0098129E"/>
    <w:rsid w:val="00981F48"/>
    <w:rsid w:val="00983FCE"/>
    <w:rsid w:val="009842BD"/>
    <w:rsid w:val="00985916"/>
    <w:rsid w:val="00986E8F"/>
    <w:rsid w:val="00991791"/>
    <w:rsid w:val="009A12FC"/>
    <w:rsid w:val="009A2230"/>
    <w:rsid w:val="009A57A4"/>
    <w:rsid w:val="009A5F1A"/>
    <w:rsid w:val="009A5FDD"/>
    <w:rsid w:val="009B554C"/>
    <w:rsid w:val="009B6C36"/>
    <w:rsid w:val="009C10C8"/>
    <w:rsid w:val="009C129E"/>
    <w:rsid w:val="009C2F0F"/>
    <w:rsid w:val="009C3470"/>
    <w:rsid w:val="009C3828"/>
    <w:rsid w:val="009C49FC"/>
    <w:rsid w:val="009C57E5"/>
    <w:rsid w:val="009D230C"/>
    <w:rsid w:val="00A00873"/>
    <w:rsid w:val="00A00D84"/>
    <w:rsid w:val="00A020D3"/>
    <w:rsid w:val="00A0419C"/>
    <w:rsid w:val="00A050BF"/>
    <w:rsid w:val="00A055DA"/>
    <w:rsid w:val="00A106C0"/>
    <w:rsid w:val="00A11D33"/>
    <w:rsid w:val="00A13ADD"/>
    <w:rsid w:val="00A1483C"/>
    <w:rsid w:val="00A1525F"/>
    <w:rsid w:val="00A37BB4"/>
    <w:rsid w:val="00A40ECF"/>
    <w:rsid w:val="00A4415D"/>
    <w:rsid w:val="00A50B2D"/>
    <w:rsid w:val="00A5213B"/>
    <w:rsid w:val="00A57639"/>
    <w:rsid w:val="00A6183A"/>
    <w:rsid w:val="00A6318F"/>
    <w:rsid w:val="00A65F0C"/>
    <w:rsid w:val="00A71A1C"/>
    <w:rsid w:val="00A730FD"/>
    <w:rsid w:val="00A755E1"/>
    <w:rsid w:val="00A81167"/>
    <w:rsid w:val="00A81285"/>
    <w:rsid w:val="00A8273F"/>
    <w:rsid w:val="00A84001"/>
    <w:rsid w:val="00A86EBF"/>
    <w:rsid w:val="00A900B4"/>
    <w:rsid w:val="00A9079D"/>
    <w:rsid w:val="00A94342"/>
    <w:rsid w:val="00A96057"/>
    <w:rsid w:val="00A9651D"/>
    <w:rsid w:val="00AA1C61"/>
    <w:rsid w:val="00AA1F55"/>
    <w:rsid w:val="00AA6D59"/>
    <w:rsid w:val="00AA72DC"/>
    <w:rsid w:val="00AB65BC"/>
    <w:rsid w:val="00AB6AC4"/>
    <w:rsid w:val="00AB7D06"/>
    <w:rsid w:val="00AC56C8"/>
    <w:rsid w:val="00AC5A41"/>
    <w:rsid w:val="00AD1801"/>
    <w:rsid w:val="00AD21D2"/>
    <w:rsid w:val="00AD43E1"/>
    <w:rsid w:val="00AD5F7D"/>
    <w:rsid w:val="00AD733A"/>
    <w:rsid w:val="00AE5379"/>
    <w:rsid w:val="00AE58CD"/>
    <w:rsid w:val="00AE5C43"/>
    <w:rsid w:val="00AF1188"/>
    <w:rsid w:val="00AF309C"/>
    <w:rsid w:val="00AF3164"/>
    <w:rsid w:val="00AF55D3"/>
    <w:rsid w:val="00AF742A"/>
    <w:rsid w:val="00B0053F"/>
    <w:rsid w:val="00B00F1D"/>
    <w:rsid w:val="00B01A93"/>
    <w:rsid w:val="00B11CBA"/>
    <w:rsid w:val="00B222F1"/>
    <w:rsid w:val="00B24228"/>
    <w:rsid w:val="00B33434"/>
    <w:rsid w:val="00B414AA"/>
    <w:rsid w:val="00B423A2"/>
    <w:rsid w:val="00B425D8"/>
    <w:rsid w:val="00B42616"/>
    <w:rsid w:val="00B46BAC"/>
    <w:rsid w:val="00B46BD9"/>
    <w:rsid w:val="00B46E6F"/>
    <w:rsid w:val="00B47A3D"/>
    <w:rsid w:val="00B527F7"/>
    <w:rsid w:val="00B55EA9"/>
    <w:rsid w:val="00B572A1"/>
    <w:rsid w:val="00B63363"/>
    <w:rsid w:val="00B63D89"/>
    <w:rsid w:val="00B65075"/>
    <w:rsid w:val="00B66602"/>
    <w:rsid w:val="00B6788D"/>
    <w:rsid w:val="00B71403"/>
    <w:rsid w:val="00B75261"/>
    <w:rsid w:val="00B760B5"/>
    <w:rsid w:val="00B77BEE"/>
    <w:rsid w:val="00B805A3"/>
    <w:rsid w:val="00B8334D"/>
    <w:rsid w:val="00B8392E"/>
    <w:rsid w:val="00B848CC"/>
    <w:rsid w:val="00B8679D"/>
    <w:rsid w:val="00B86896"/>
    <w:rsid w:val="00B87543"/>
    <w:rsid w:val="00B91EB9"/>
    <w:rsid w:val="00B93989"/>
    <w:rsid w:val="00B96BB8"/>
    <w:rsid w:val="00BA089F"/>
    <w:rsid w:val="00BA2EAB"/>
    <w:rsid w:val="00BA33AB"/>
    <w:rsid w:val="00BA6F3C"/>
    <w:rsid w:val="00BA7D38"/>
    <w:rsid w:val="00BB0662"/>
    <w:rsid w:val="00BB10DB"/>
    <w:rsid w:val="00BB1521"/>
    <w:rsid w:val="00BB1DC2"/>
    <w:rsid w:val="00BC0BD2"/>
    <w:rsid w:val="00BC3494"/>
    <w:rsid w:val="00BD0E51"/>
    <w:rsid w:val="00BD14CB"/>
    <w:rsid w:val="00BD3C04"/>
    <w:rsid w:val="00BD5098"/>
    <w:rsid w:val="00BD5E7F"/>
    <w:rsid w:val="00BD5EC4"/>
    <w:rsid w:val="00BD6555"/>
    <w:rsid w:val="00BD6B54"/>
    <w:rsid w:val="00BD77AA"/>
    <w:rsid w:val="00BE1ACB"/>
    <w:rsid w:val="00BE6054"/>
    <w:rsid w:val="00BE6345"/>
    <w:rsid w:val="00BF31DB"/>
    <w:rsid w:val="00C027B8"/>
    <w:rsid w:val="00C029ED"/>
    <w:rsid w:val="00C062DC"/>
    <w:rsid w:val="00C06BAF"/>
    <w:rsid w:val="00C06E19"/>
    <w:rsid w:val="00C07CC2"/>
    <w:rsid w:val="00C15802"/>
    <w:rsid w:val="00C1583B"/>
    <w:rsid w:val="00C207A7"/>
    <w:rsid w:val="00C22FCA"/>
    <w:rsid w:val="00C23A8E"/>
    <w:rsid w:val="00C264B5"/>
    <w:rsid w:val="00C31205"/>
    <w:rsid w:val="00C338D2"/>
    <w:rsid w:val="00C35873"/>
    <w:rsid w:val="00C36E8A"/>
    <w:rsid w:val="00C377BD"/>
    <w:rsid w:val="00C37FF7"/>
    <w:rsid w:val="00C40819"/>
    <w:rsid w:val="00C40F81"/>
    <w:rsid w:val="00C422B6"/>
    <w:rsid w:val="00C4619B"/>
    <w:rsid w:val="00C4704B"/>
    <w:rsid w:val="00C500BE"/>
    <w:rsid w:val="00C50768"/>
    <w:rsid w:val="00C509CB"/>
    <w:rsid w:val="00C50A66"/>
    <w:rsid w:val="00C5203F"/>
    <w:rsid w:val="00C53BEA"/>
    <w:rsid w:val="00C53C4C"/>
    <w:rsid w:val="00C574F4"/>
    <w:rsid w:val="00C57EF8"/>
    <w:rsid w:val="00C76515"/>
    <w:rsid w:val="00C774E7"/>
    <w:rsid w:val="00C8266C"/>
    <w:rsid w:val="00C8419E"/>
    <w:rsid w:val="00C8697F"/>
    <w:rsid w:val="00C873CF"/>
    <w:rsid w:val="00C91BBB"/>
    <w:rsid w:val="00C92CDE"/>
    <w:rsid w:val="00C93F10"/>
    <w:rsid w:val="00C94D61"/>
    <w:rsid w:val="00C94E29"/>
    <w:rsid w:val="00C9777C"/>
    <w:rsid w:val="00CA1147"/>
    <w:rsid w:val="00CA29BA"/>
    <w:rsid w:val="00CA2F6F"/>
    <w:rsid w:val="00CA3221"/>
    <w:rsid w:val="00CA399B"/>
    <w:rsid w:val="00CA39DC"/>
    <w:rsid w:val="00CA3AC0"/>
    <w:rsid w:val="00CA48E6"/>
    <w:rsid w:val="00CA530B"/>
    <w:rsid w:val="00CA7846"/>
    <w:rsid w:val="00CB04F1"/>
    <w:rsid w:val="00CB06DC"/>
    <w:rsid w:val="00CB1145"/>
    <w:rsid w:val="00CB422A"/>
    <w:rsid w:val="00CB7024"/>
    <w:rsid w:val="00CB7BEC"/>
    <w:rsid w:val="00CC429E"/>
    <w:rsid w:val="00CC7ABF"/>
    <w:rsid w:val="00CD14FC"/>
    <w:rsid w:val="00CD3E1E"/>
    <w:rsid w:val="00CD435E"/>
    <w:rsid w:val="00CD79DA"/>
    <w:rsid w:val="00CE30D5"/>
    <w:rsid w:val="00CE38F8"/>
    <w:rsid w:val="00CE3949"/>
    <w:rsid w:val="00CE6D33"/>
    <w:rsid w:val="00CE7D46"/>
    <w:rsid w:val="00CF0D91"/>
    <w:rsid w:val="00CF71C9"/>
    <w:rsid w:val="00D103BF"/>
    <w:rsid w:val="00D13BD0"/>
    <w:rsid w:val="00D1522E"/>
    <w:rsid w:val="00D15FE3"/>
    <w:rsid w:val="00D21FC1"/>
    <w:rsid w:val="00D21FEB"/>
    <w:rsid w:val="00D25052"/>
    <w:rsid w:val="00D252B7"/>
    <w:rsid w:val="00D26326"/>
    <w:rsid w:val="00D32FC5"/>
    <w:rsid w:val="00D33001"/>
    <w:rsid w:val="00D35312"/>
    <w:rsid w:val="00D421FA"/>
    <w:rsid w:val="00D439EF"/>
    <w:rsid w:val="00D4797F"/>
    <w:rsid w:val="00D5032B"/>
    <w:rsid w:val="00D50B4D"/>
    <w:rsid w:val="00D5733C"/>
    <w:rsid w:val="00D62FDC"/>
    <w:rsid w:val="00D65C53"/>
    <w:rsid w:val="00D66A08"/>
    <w:rsid w:val="00D66EBE"/>
    <w:rsid w:val="00D70256"/>
    <w:rsid w:val="00D70838"/>
    <w:rsid w:val="00D74289"/>
    <w:rsid w:val="00D76E95"/>
    <w:rsid w:val="00D7720F"/>
    <w:rsid w:val="00D805E0"/>
    <w:rsid w:val="00D81EFE"/>
    <w:rsid w:val="00D8230C"/>
    <w:rsid w:val="00D82B5F"/>
    <w:rsid w:val="00D8621F"/>
    <w:rsid w:val="00D8662E"/>
    <w:rsid w:val="00D901F3"/>
    <w:rsid w:val="00D92305"/>
    <w:rsid w:val="00D92752"/>
    <w:rsid w:val="00D927F1"/>
    <w:rsid w:val="00D93321"/>
    <w:rsid w:val="00D9499B"/>
    <w:rsid w:val="00D963B9"/>
    <w:rsid w:val="00D96959"/>
    <w:rsid w:val="00DA01AE"/>
    <w:rsid w:val="00DA107B"/>
    <w:rsid w:val="00DA498B"/>
    <w:rsid w:val="00DB27FF"/>
    <w:rsid w:val="00DB3A5C"/>
    <w:rsid w:val="00DB4DE8"/>
    <w:rsid w:val="00DB74F8"/>
    <w:rsid w:val="00DC09E6"/>
    <w:rsid w:val="00DC388A"/>
    <w:rsid w:val="00DC3D2E"/>
    <w:rsid w:val="00DD5C9A"/>
    <w:rsid w:val="00DE1B12"/>
    <w:rsid w:val="00DE2A2C"/>
    <w:rsid w:val="00DE2DE4"/>
    <w:rsid w:val="00DF071D"/>
    <w:rsid w:val="00DF35F8"/>
    <w:rsid w:val="00DF4612"/>
    <w:rsid w:val="00E00D47"/>
    <w:rsid w:val="00E02D83"/>
    <w:rsid w:val="00E15ECB"/>
    <w:rsid w:val="00E2294B"/>
    <w:rsid w:val="00E241BD"/>
    <w:rsid w:val="00E24631"/>
    <w:rsid w:val="00E267C3"/>
    <w:rsid w:val="00E27050"/>
    <w:rsid w:val="00E306B3"/>
    <w:rsid w:val="00E30E97"/>
    <w:rsid w:val="00E34AFE"/>
    <w:rsid w:val="00E37D3C"/>
    <w:rsid w:val="00E40CA8"/>
    <w:rsid w:val="00E42763"/>
    <w:rsid w:val="00E4778E"/>
    <w:rsid w:val="00E5295C"/>
    <w:rsid w:val="00E53382"/>
    <w:rsid w:val="00E53FAC"/>
    <w:rsid w:val="00E55920"/>
    <w:rsid w:val="00E56B6C"/>
    <w:rsid w:val="00E56C07"/>
    <w:rsid w:val="00E614F3"/>
    <w:rsid w:val="00E64D37"/>
    <w:rsid w:val="00E67825"/>
    <w:rsid w:val="00E71D5D"/>
    <w:rsid w:val="00E731C3"/>
    <w:rsid w:val="00E86108"/>
    <w:rsid w:val="00E94E19"/>
    <w:rsid w:val="00E96B83"/>
    <w:rsid w:val="00EB0957"/>
    <w:rsid w:val="00EB4997"/>
    <w:rsid w:val="00EB55D0"/>
    <w:rsid w:val="00EB731F"/>
    <w:rsid w:val="00EB73EC"/>
    <w:rsid w:val="00EC1AAE"/>
    <w:rsid w:val="00EC2C3A"/>
    <w:rsid w:val="00EC49CC"/>
    <w:rsid w:val="00EC63D8"/>
    <w:rsid w:val="00ED17E6"/>
    <w:rsid w:val="00ED6D62"/>
    <w:rsid w:val="00EE24E2"/>
    <w:rsid w:val="00EE33CE"/>
    <w:rsid w:val="00EE6E02"/>
    <w:rsid w:val="00EE78FB"/>
    <w:rsid w:val="00EF0D3F"/>
    <w:rsid w:val="00EF1B12"/>
    <w:rsid w:val="00EF6456"/>
    <w:rsid w:val="00EF699E"/>
    <w:rsid w:val="00F02049"/>
    <w:rsid w:val="00F053C0"/>
    <w:rsid w:val="00F057D5"/>
    <w:rsid w:val="00F0601A"/>
    <w:rsid w:val="00F06D91"/>
    <w:rsid w:val="00F12BF3"/>
    <w:rsid w:val="00F137CA"/>
    <w:rsid w:val="00F20093"/>
    <w:rsid w:val="00F23D16"/>
    <w:rsid w:val="00F24E02"/>
    <w:rsid w:val="00F35431"/>
    <w:rsid w:val="00F40AC5"/>
    <w:rsid w:val="00F41819"/>
    <w:rsid w:val="00F47DB3"/>
    <w:rsid w:val="00F505D7"/>
    <w:rsid w:val="00F50CDF"/>
    <w:rsid w:val="00F51448"/>
    <w:rsid w:val="00F56750"/>
    <w:rsid w:val="00F56E18"/>
    <w:rsid w:val="00F57A28"/>
    <w:rsid w:val="00F61E0E"/>
    <w:rsid w:val="00F629F5"/>
    <w:rsid w:val="00F64774"/>
    <w:rsid w:val="00F65937"/>
    <w:rsid w:val="00F673E9"/>
    <w:rsid w:val="00F72641"/>
    <w:rsid w:val="00F73467"/>
    <w:rsid w:val="00F80E33"/>
    <w:rsid w:val="00F810FE"/>
    <w:rsid w:val="00F831BB"/>
    <w:rsid w:val="00F84A72"/>
    <w:rsid w:val="00F857F5"/>
    <w:rsid w:val="00F9290B"/>
    <w:rsid w:val="00F92C77"/>
    <w:rsid w:val="00F94488"/>
    <w:rsid w:val="00F94DB8"/>
    <w:rsid w:val="00F96537"/>
    <w:rsid w:val="00FA094E"/>
    <w:rsid w:val="00FA0F04"/>
    <w:rsid w:val="00FA2526"/>
    <w:rsid w:val="00FA31BC"/>
    <w:rsid w:val="00FA67E9"/>
    <w:rsid w:val="00FA7D4F"/>
    <w:rsid w:val="00FB07BC"/>
    <w:rsid w:val="00FB15EE"/>
    <w:rsid w:val="00FB27AB"/>
    <w:rsid w:val="00FB51EF"/>
    <w:rsid w:val="00FB711B"/>
    <w:rsid w:val="00FC09A4"/>
    <w:rsid w:val="00FC0F2E"/>
    <w:rsid w:val="00FC2294"/>
    <w:rsid w:val="00FC3F97"/>
    <w:rsid w:val="00FC5410"/>
    <w:rsid w:val="00FC5D2A"/>
    <w:rsid w:val="00FC6259"/>
    <w:rsid w:val="00FD074E"/>
    <w:rsid w:val="00FD084C"/>
    <w:rsid w:val="00FD152B"/>
    <w:rsid w:val="00FD52D3"/>
    <w:rsid w:val="00FD61F6"/>
    <w:rsid w:val="00FD71A7"/>
    <w:rsid w:val="00FE34A6"/>
    <w:rsid w:val="00FE3EE4"/>
    <w:rsid w:val="00FE49E3"/>
    <w:rsid w:val="00FE5A2D"/>
    <w:rsid w:val="00FE67F7"/>
    <w:rsid w:val="00FF024C"/>
    <w:rsid w:val="00FF275E"/>
    <w:rsid w:val="00FF4CEA"/>
    <w:rsid w:val="010677FD"/>
    <w:rsid w:val="010D7DD7"/>
    <w:rsid w:val="0150744A"/>
    <w:rsid w:val="01B21A18"/>
    <w:rsid w:val="01CA5C47"/>
    <w:rsid w:val="01D34B7C"/>
    <w:rsid w:val="01E0427F"/>
    <w:rsid w:val="01E45AB8"/>
    <w:rsid w:val="02130E8E"/>
    <w:rsid w:val="024C6CE4"/>
    <w:rsid w:val="025A0021"/>
    <w:rsid w:val="026914D6"/>
    <w:rsid w:val="026E3E85"/>
    <w:rsid w:val="02775E4F"/>
    <w:rsid w:val="028842F3"/>
    <w:rsid w:val="02A97FD3"/>
    <w:rsid w:val="02C07B5B"/>
    <w:rsid w:val="02D23147"/>
    <w:rsid w:val="02D54924"/>
    <w:rsid w:val="02D7403E"/>
    <w:rsid w:val="02F0538D"/>
    <w:rsid w:val="02F97C8A"/>
    <w:rsid w:val="0311094D"/>
    <w:rsid w:val="03127926"/>
    <w:rsid w:val="03545B4C"/>
    <w:rsid w:val="03546806"/>
    <w:rsid w:val="03A04F32"/>
    <w:rsid w:val="03A4242B"/>
    <w:rsid w:val="03AA4003"/>
    <w:rsid w:val="03C96D2F"/>
    <w:rsid w:val="03EC0177"/>
    <w:rsid w:val="03F63207"/>
    <w:rsid w:val="03F82FC0"/>
    <w:rsid w:val="040134DD"/>
    <w:rsid w:val="0440268E"/>
    <w:rsid w:val="044135D4"/>
    <w:rsid w:val="04581CB1"/>
    <w:rsid w:val="04625E5C"/>
    <w:rsid w:val="046454FC"/>
    <w:rsid w:val="046643CE"/>
    <w:rsid w:val="04665F00"/>
    <w:rsid w:val="04A143F5"/>
    <w:rsid w:val="04AD0340"/>
    <w:rsid w:val="04CD398A"/>
    <w:rsid w:val="04D74983"/>
    <w:rsid w:val="04DC4690"/>
    <w:rsid w:val="04F05A45"/>
    <w:rsid w:val="05010AE8"/>
    <w:rsid w:val="05080FE1"/>
    <w:rsid w:val="05135EC0"/>
    <w:rsid w:val="0521539E"/>
    <w:rsid w:val="052A5638"/>
    <w:rsid w:val="0539495C"/>
    <w:rsid w:val="054E6624"/>
    <w:rsid w:val="05611EC8"/>
    <w:rsid w:val="057167A1"/>
    <w:rsid w:val="0575231F"/>
    <w:rsid w:val="057E5747"/>
    <w:rsid w:val="05832150"/>
    <w:rsid w:val="058D598A"/>
    <w:rsid w:val="058F0F75"/>
    <w:rsid w:val="0596173A"/>
    <w:rsid w:val="05985434"/>
    <w:rsid w:val="05A02E79"/>
    <w:rsid w:val="05B240B9"/>
    <w:rsid w:val="05B25536"/>
    <w:rsid w:val="05CD7550"/>
    <w:rsid w:val="05D13AC9"/>
    <w:rsid w:val="05D830A9"/>
    <w:rsid w:val="05E05ABA"/>
    <w:rsid w:val="05EB7976"/>
    <w:rsid w:val="06022644"/>
    <w:rsid w:val="06231F6B"/>
    <w:rsid w:val="0627193B"/>
    <w:rsid w:val="062864BE"/>
    <w:rsid w:val="062D4B10"/>
    <w:rsid w:val="062E5CA0"/>
    <w:rsid w:val="06484896"/>
    <w:rsid w:val="067F1777"/>
    <w:rsid w:val="06897EFF"/>
    <w:rsid w:val="06985B68"/>
    <w:rsid w:val="06B963C3"/>
    <w:rsid w:val="06BB4699"/>
    <w:rsid w:val="06BF6017"/>
    <w:rsid w:val="06D426C9"/>
    <w:rsid w:val="06DE6B97"/>
    <w:rsid w:val="06E11AE9"/>
    <w:rsid w:val="06F54F23"/>
    <w:rsid w:val="072916E2"/>
    <w:rsid w:val="072C2F43"/>
    <w:rsid w:val="073A094A"/>
    <w:rsid w:val="07443F60"/>
    <w:rsid w:val="074E2D4C"/>
    <w:rsid w:val="075449B1"/>
    <w:rsid w:val="07554280"/>
    <w:rsid w:val="07940902"/>
    <w:rsid w:val="07A14D60"/>
    <w:rsid w:val="07A72E06"/>
    <w:rsid w:val="07AD656C"/>
    <w:rsid w:val="07BD65C4"/>
    <w:rsid w:val="07D459E5"/>
    <w:rsid w:val="07EC518D"/>
    <w:rsid w:val="07ED0962"/>
    <w:rsid w:val="07FD79D6"/>
    <w:rsid w:val="08057A5A"/>
    <w:rsid w:val="080F10BE"/>
    <w:rsid w:val="081C6819"/>
    <w:rsid w:val="0837218F"/>
    <w:rsid w:val="08412327"/>
    <w:rsid w:val="08470072"/>
    <w:rsid w:val="08493DEA"/>
    <w:rsid w:val="084A7135"/>
    <w:rsid w:val="085409E1"/>
    <w:rsid w:val="08584823"/>
    <w:rsid w:val="087D2DFB"/>
    <w:rsid w:val="087D71AA"/>
    <w:rsid w:val="087F116D"/>
    <w:rsid w:val="08816E02"/>
    <w:rsid w:val="08892439"/>
    <w:rsid w:val="0891753F"/>
    <w:rsid w:val="08AF53FC"/>
    <w:rsid w:val="08B6440D"/>
    <w:rsid w:val="08CD7B80"/>
    <w:rsid w:val="09187C60"/>
    <w:rsid w:val="09212671"/>
    <w:rsid w:val="094952AB"/>
    <w:rsid w:val="094F3A7D"/>
    <w:rsid w:val="09672297"/>
    <w:rsid w:val="09842A94"/>
    <w:rsid w:val="09980064"/>
    <w:rsid w:val="09AD6DA0"/>
    <w:rsid w:val="09B733CF"/>
    <w:rsid w:val="09FC3DED"/>
    <w:rsid w:val="0A017CA5"/>
    <w:rsid w:val="0A177FBB"/>
    <w:rsid w:val="0A2C751F"/>
    <w:rsid w:val="0A32516E"/>
    <w:rsid w:val="0A3B5E4F"/>
    <w:rsid w:val="0A4A3E4A"/>
    <w:rsid w:val="0A534A68"/>
    <w:rsid w:val="0A5D129E"/>
    <w:rsid w:val="0A6F73CD"/>
    <w:rsid w:val="0A7316DF"/>
    <w:rsid w:val="0A7E3E50"/>
    <w:rsid w:val="0A8A4B5C"/>
    <w:rsid w:val="0A915C28"/>
    <w:rsid w:val="0A9645B6"/>
    <w:rsid w:val="0A9E7CF1"/>
    <w:rsid w:val="0ACB1529"/>
    <w:rsid w:val="0AE840F1"/>
    <w:rsid w:val="0AFE58D7"/>
    <w:rsid w:val="0B1F032B"/>
    <w:rsid w:val="0B3E0B27"/>
    <w:rsid w:val="0B8E7D66"/>
    <w:rsid w:val="0B900166"/>
    <w:rsid w:val="0B996E37"/>
    <w:rsid w:val="0B9B6F08"/>
    <w:rsid w:val="0BB84DE3"/>
    <w:rsid w:val="0BBF6A1F"/>
    <w:rsid w:val="0BC16775"/>
    <w:rsid w:val="0BCC0102"/>
    <w:rsid w:val="0C055C11"/>
    <w:rsid w:val="0C261DCE"/>
    <w:rsid w:val="0C2A095B"/>
    <w:rsid w:val="0C403756"/>
    <w:rsid w:val="0C5B2C36"/>
    <w:rsid w:val="0C612EBC"/>
    <w:rsid w:val="0C9D0F3D"/>
    <w:rsid w:val="0C9D5046"/>
    <w:rsid w:val="0CA30DC4"/>
    <w:rsid w:val="0CA53682"/>
    <w:rsid w:val="0CC62E79"/>
    <w:rsid w:val="0CEC743A"/>
    <w:rsid w:val="0CFD5169"/>
    <w:rsid w:val="0D246BD4"/>
    <w:rsid w:val="0D265FB9"/>
    <w:rsid w:val="0D2A2C87"/>
    <w:rsid w:val="0D2F4585"/>
    <w:rsid w:val="0D6D04FB"/>
    <w:rsid w:val="0D7F0FF2"/>
    <w:rsid w:val="0DAB373F"/>
    <w:rsid w:val="0DB10B15"/>
    <w:rsid w:val="0DEC5606"/>
    <w:rsid w:val="0DF6340F"/>
    <w:rsid w:val="0DF759EC"/>
    <w:rsid w:val="0E0003F5"/>
    <w:rsid w:val="0E131438"/>
    <w:rsid w:val="0E2A021A"/>
    <w:rsid w:val="0E300CCB"/>
    <w:rsid w:val="0E34332C"/>
    <w:rsid w:val="0E484539"/>
    <w:rsid w:val="0E4E6F98"/>
    <w:rsid w:val="0E59465B"/>
    <w:rsid w:val="0E6F1FEA"/>
    <w:rsid w:val="0E8E4A9A"/>
    <w:rsid w:val="0E8F346F"/>
    <w:rsid w:val="0EA76728"/>
    <w:rsid w:val="0EAB39BC"/>
    <w:rsid w:val="0EAE0E4B"/>
    <w:rsid w:val="0EAF060F"/>
    <w:rsid w:val="0EBB5316"/>
    <w:rsid w:val="0EBD5AF0"/>
    <w:rsid w:val="0EC44874"/>
    <w:rsid w:val="0ECB06E8"/>
    <w:rsid w:val="0ED258A9"/>
    <w:rsid w:val="0EE867D6"/>
    <w:rsid w:val="0EF24AB8"/>
    <w:rsid w:val="0EF83E74"/>
    <w:rsid w:val="0F112BA2"/>
    <w:rsid w:val="0F2E646B"/>
    <w:rsid w:val="0F4B5E20"/>
    <w:rsid w:val="0F5E215B"/>
    <w:rsid w:val="0F5E7024"/>
    <w:rsid w:val="0F6253CB"/>
    <w:rsid w:val="0F7306C4"/>
    <w:rsid w:val="0F73174D"/>
    <w:rsid w:val="0F7416D3"/>
    <w:rsid w:val="0F755356"/>
    <w:rsid w:val="0F995CE4"/>
    <w:rsid w:val="0FCA4128"/>
    <w:rsid w:val="0FD056DD"/>
    <w:rsid w:val="0FE10B54"/>
    <w:rsid w:val="0FF521C8"/>
    <w:rsid w:val="10094E47"/>
    <w:rsid w:val="100E76C7"/>
    <w:rsid w:val="101A2DB8"/>
    <w:rsid w:val="1021389E"/>
    <w:rsid w:val="103855F9"/>
    <w:rsid w:val="104B3684"/>
    <w:rsid w:val="10686DD7"/>
    <w:rsid w:val="106D2640"/>
    <w:rsid w:val="10741A50"/>
    <w:rsid w:val="107A55F0"/>
    <w:rsid w:val="108C6F6A"/>
    <w:rsid w:val="10981E8E"/>
    <w:rsid w:val="10A63D2D"/>
    <w:rsid w:val="10B464C1"/>
    <w:rsid w:val="10BB513E"/>
    <w:rsid w:val="10BC0A12"/>
    <w:rsid w:val="10BC59EE"/>
    <w:rsid w:val="10C009C2"/>
    <w:rsid w:val="10CC2784"/>
    <w:rsid w:val="10E037A1"/>
    <w:rsid w:val="10F20A88"/>
    <w:rsid w:val="1109680C"/>
    <w:rsid w:val="112E2143"/>
    <w:rsid w:val="116A0647"/>
    <w:rsid w:val="117240CA"/>
    <w:rsid w:val="119E68F1"/>
    <w:rsid w:val="11A02190"/>
    <w:rsid w:val="11C3441F"/>
    <w:rsid w:val="11D4470B"/>
    <w:rsid w:val="11E72AA0"/>
    <w:rsid w:val="11ED5817"/>
    <w:rsid w:val="11F27300"/>
    <w:rsid w:val="11FF770F"/>
    <w:rsid w:val="12236EB5"/>
    <w:rsid w:val="12533B52"/>
    <w:rsid w:val="12614426"/>
    <w:rsid w:val="12DA1A1B"/>
    <w:rsid w:val="12DC1601"/>
    <w:rsid w:val="12DC4263"/>
    <w:rsid w:val="12DE553C"/>
    <w:rsid w:val="12E31AB3"/>
    <w:rsid w:val="1303087B"/>
    <w:rsid w:val="131453C8"/>
    <w:rsid w:val="131D6EAC"/>
    <w:rsid w:val="133D09EF"/>
    <w:rsid w:val="133F1385"/>
    <w:rsid w:val="136441CE"/>
    <w:rsid w:val="13895FA5"/>
    <w:rsid w:val="13A20F1B"/>
    <w:rsid w:val="13AA57B4"/>
    <w:rsid w:val="13B02416"/>
    <w:rsid w:val="13E16F2E"/>
    <w:rsid w:val="13E75C47"/>
    <w:rsid w:val="13FB1AF3"/>
    <w:rsid w:val="14114F14"/>
    <w:rsid w:val="14125544"/>
    <w:rsid w:val="14177DA3"/>
    <w:rsid w:val="14227BAC"/>
    <w:rsid w:val="14333641"/>
    <w:rsid w:val="1444190A"/>
    <w:rsid w:val="144D5224"/>
    <w:rsid w:val="147A17CF"/>
    <w:rsid w:val="147D1163"/>
    <w:rsid w:val="14841741"/>
    <w:rsid w:val="14A15F86"/>
    <w:rsid w:val="14A36EC5"/>
    <w:rsid w:val="14BA7E1E"/>
    <w:rsid w:val="14BF0B64"/>
    <w:rsid w:val="14D34A81"/>
    <w:rsid w:val="14DC5FE6"/>
    <w:rsid w:val="14E03136"/>
    <w:rsid w:val="1513618F"/>
    <w:rsid w:val="151E03AD"/>
    <w:rsid w:val="153A6A99"/>
    <w:rsid w:val="15460579"/>
    <w:rsid w:val="154D0D4C"/>
    <w:rsid w:val="156F1C62"/>
    <w:rsid w:val="15930FBB"/>
    <w:rsid w:val="15C54CCC"/>
    <w:rsid w:val="16184A55"/>
    <w:rsid w:val="164E138E"/>
    <w:rsid w:val="166F6902"/>
    <w:rsid w:val="16837CAD"/>
    <w:rsid w:val="16865660"/>
    <w:rsid w:val="168D5635"/>
    <w:rsid w:val="16912973"/>
    <w:rsid w:val="169620A3"/>
    <w:rsid w:val="1699418F"/>
    <w:rsid w:val="16B72867"/>
    <w:rsid w:val="16D57191"/>
    <w:rsid w:val="16F413C5"/>
    <w:rsid w:val="16FB5268"/>
    <w:rsid w:val="17224323"/>
    <w:rsid w:val="172F5DE0"/>
    <w:rsid w:val="176B468F"/>
    <w:rsid w:val="1772678E"/>
    <w:rsid w:val="17964BDD"/>
    <w:rsid w:val="179B2D8B"/>
    <w:rsid w:val="17B8460B"/>
    <w:rsid w:val="17C214C3"/>
    <w:rsid w:val="17D17958"/>
    <w:rsid w:val="17D631C0"/>
    <w:rsid w:val="17E627B5"/>
    <w:rsid w:val="181D0DEF"/>
    <w:rsid w:val="185715DB"/>
    <w:rsid w:val="185A451F"/>
    <w:rsid w:val="185A5893"/>
    <w:rsid w:val="1864257A"/>
    <w:rsid w:val="186C7681"/>
    <w:rsid w:val="186D1665"/>
    <w:rsid w:val="188035F4"/>
    <w:rsid w:val="189D5C7A"/>
    <w:rsid w:val="18AE37F5"/>
    <w:rsid w:val="18B07EC0"/>
    <w:rsid w:val="18B369CF"/>
    <w:rsid w:val="18D30994"/>
    <w:rsid w:val="18F27B86"/>
    <w:rsid w:val="18FA1684"/>
    <w:rsid w:val="18FC4F15"/>
    <w:rsid w:val="19085AB4"/>
    <w:rsid w:val="190A13FE"/>
    <w:rsid w:val="191A7EEA"/>
    <w:rsid w:val="1941466A"/>
    <w:rsid w:val="195B56F7"/>
    <w:rsid w:val="196633DA"/>
    <w:rsid w:val="19726F19"/>
    <w:rsid w:val="19774AD4"/>
    <w:rsid w:val="1981531E"/>
    <w:rsid w:val="19890725"/>
    <w:rsid w:val="199666CD"/>
    <w:rsid w:val="199771E0"/>
    <w:rsid w:val="199C5BAE"/>
    <w:rsid w:val="19AD67A1"/>
    <w:rsid w:val="19C31195"/>
    <w:rsid w:val="19DA0B20"/>
    <w:rsid w:val="19E31F20"/>
    <w:rsid w:val="19F6533D"/>
    <w:rsid w:val="19F908B3"/>
    <w:rsid w:val="1A0758B3"/>
    <w:rsid w:val="1A0E3027"/>
    <w:rsid w:val="1A2A3A0A"/>
    <w:rsid w:val="1A3A17E5"/>
    <w:rsid w:val="1A467CA5"/>
    <w:rsid w:val="1A5371C7"/>
    <w:rsid w:val="1A7C633B"/>
    <w:rsid w:val="1AA12347"/>
    <w:rsid w:val="1AC12C2F"/>
    <w:rsid w:val="1AD5150D"/>
    <w:rsid w:val="1AEE1B5A"/>
    <w:rsid w:val="1B1B1AED"/>
    <w:rsid w:val="1B2327BA"/>
    <w:rsid w:val="1B285DA8"/>
    <w:rsid w:val="1B2D1426"/>
    <w:rsid w:val="1B34225F"/>
    <w:rsid w:val="1B741809"/>
    <w:rsid w:val="1B9E5EB2"/>
    <w:rsid w:val="1BA84216"/>
    <w:rsid w:val="1BDE35D8"/>
    <w:rsid w:val="1C032FC3"/>
    <w:rsid w:val="1C0F2461"/>
    <w:rsid w:val="1C197B20"/>
    <w:rsid w:val="1C2A75D2"/>
    <w:rsid w:val="1C417161"/>
    <w:rsid w:val="1C4E1ED3"/>
    <w:rsid w:val="1C6036B0"/>
    <w:rsid w:val="1C60574F"/>
    <w:rsid w:val="1C640447"/>
    <w:rsid w:val="1C9E2440"/>
    <w:rsid w:val="1CCD74BF"/>
    <w:rsid w:val="1CD02E5A"/>
    <w:rsid w:val="1D07790C"/>
    <w:rsid w:val="1D1A7519"/>
    <w:rsid w:val="1D1D2483"/>
    <w:rsid w:val="1D220E65"/>
    <w:rsid w:val="1D435A2B"/>
    <w:rsid w:val="1D473B0F"/>
    <w:rsid w:val="1D567A2F"/>
    <w:rsid w:val="1D7C2114"/>
    <w:rsid w:val="1D884BDD"/>
    <w:rsid w:val="1D893DF7"/>
    <w:rsid w:val="1D991F3E"/>
    <w:rsid w:val="1D9D1A60"/>
    <w:rsid w:val="1DB23D88"/>
    <w:rsid w:val="1DD66083"/>
    <w:rsid w:val="1DE07B88"/>
    <w:rsid w:val="1DE71A2D"/>
    <w:rsid w:val="1DEA5065"/>
    <w:rsid w:val="1DFC3255"/>
    <w:rsid w:val="1E264941"/>
    <w:rsid w:val="1E3454F5"/>
    <w:rsid w:val="1E505F69"/>
    <w:rsid w:val="1E636E30"/>
    <w:rsid w:val="1E696296"/>
    <w:rsid w:val="1E6C086A"/>
    <w:rsid w:val="1E7728DA"/>
    <w:rsid w:val="1E8470EA"/>
    <w:rsid w:val="1E886B1A"/>
    <w:rsid w:val="1E8C29CF"/>
    <w:rsid w:val="1EA26BD8"/>
    <w:rsid w:val="1EA71413"/>
    <w:rsid w:val="1EB86D6B"/>
    <w:rsid w:val="1ECA6C91"/>
    <w:rsid w:val="1ECA6EAF"/>
    <w:rsid w:val="1EE31C63"/>
    <w:rsid w:val="1EFA0674"/>
    <w:rsid w:val="1F0214F7"/>
    <w:rsid w:val="1F0C172C"/>
    <w:rsid w:val="1F114B7A"/>
    <w:rsid w:val="1F243576"/>
    <w:rsid w:val="1F2F61E7"/>
    <w:rsid w:val="1F324F68"/>
    <w:rsid w:val="1F4B39E8"/>
    <w:rsid w:val="1F546AF6"/>
    <w:rsid w:val="1F670BF5"/>
    <w:rsid w:val="1F784E52"/>
    <w:rsid w:val="1F7A08D5"/>
    <w:rsid w:val="1F8C3BF6"/>
    <w:rsid w:val="1F941997"/>
    <w:rsid w:val="1F9C084C"/>
    <w:rsid w:val="1FA535FA"/>
    <w:rsid w:val="1FBC3D21"/>
    <w:rsid w:val="1FE655FE"/>
    <w:rsid w:val="1FF7742C"/>
    <w:rsid w:val="200D561F"/>
    <w:rsid w:val="20121817"/>
    <w:rsid w:val="20141E71"/>
    <w:rsid w:val="202820DF"/>
    <w:rsid w:val="202E593D"/>
    <w:rsid w:val="20336652"/>
    <w:rsid w:val="20517888"/>
    <w:rsid w:val="20527A49"/>
    <w:rsid w:val="206203F4"/>
    <w:rsid w:val="20764172"/>
    <w:rsid w:val="209205DC"/>
    <w:rsid w:val="20B83463"/>
    <w:rsid w:val="20C25887"/>
    <w:rsid w:val="20DE6727"/>
    <w:rsid w:val="20E976FD"/>
    <w:rsid w:val="20EA4A26"/>
    <w:rsid w:val="210E7D76"/>
    <w:rsid w:val="212B5917"/>
    <w:rsid w:val="21675F5E"/>
    <w:rsid w:val="21701061"/>
    <w:rsid w:val="21B856E5"/>
    <w:rsid w:val="21BC795F"/>
    <w:rsid w:val="21DA5735"/>
    <w:rsid w:val="21F076E1"/>
    <w:rsid w:val="21F76C58"/>
    <w:rsid w:val="220869B6"/>
    <w:rsid w:val="22106A7C"/>
    <w:rsid w:val="221D182D"/>
    <w:rsid w:val="223D41A1"/>
    <w:rsid w:val="224B26A4"/>
    <w:rsid w:val="224C47AB"/>
    <w:rsid w:val="22613F20"/>
    <w:rsid w:val="226A3C14"/>
    <w:rsid w:val="227D4C9F"/>
    <w:rsid w:val="22B80F93"/>
    <w:rsid w:val="22BB028C"/>
    <w:rsid w:val="22D447A0"/>
    <w:rsid w:val="23001B64"/>
    <w:rsid w:val="230465B7"/>
    <w:rsid w:val="23213E8D"/>
    <w:rsid w:val="23241EA1"/>
    <w:rsid w:val="234731C4"/>
    <w:rsid w:val="234858E1"/>
    <w:rsid w:val="238F5C88"/>
    <w:rsid w:val="239D2DE4"/>
    <w:rsid w:val="23B91008"/>
    <w:rsid w:val="23CC4744"/>
    <w:rsid w:val="23D609DA"/>
    <w:rsid w:val="23DA4684"/>
    <w:rsid w:val="23FB704A"/>
    <w:rsid w:val="242467CA"/>
    <w:rsid w:val="24306110"/>
    <w:rsid w:val="243D1502"/>
    <w:rsid w:val="244D480A"/>
    <w:rsid w:val="245345D6"/>
    <w:rsid w:val="24743FEC"/>
    <w:rsid w:val="24771887"/>
    <w:rsid w:val="24805F8B"/>
    <w:rsid w:val="24835E3B"/>
    <w:rsid w:val="24864CD7"/>
    <w:rsid w:val="248E5E54"/>
    <w:rsid w:val="249C27FC"/>
    <w:rsid w:val="24A563F4"/>
    <w:rsid w:val="24C068BD"/>
    <w:rsid w:val="24C61DD0"/>
    <w:rsid w:val="24D42AC1"/>
    <w:rsid w:val="24D52C27"/>
    <w:rsid w:val="250273A3"/>
    <w:rsid w:val="250B28E1"/>
    <w:rsid w:val="251F05DB"/>
    <w:rsid w:val="25292B82"/>
    <w:rsid w:val="253908EB"/>
    <w:rsid w:val="253B24B9"/>
    <w:rsid w:val="253D228D"/>
    <w:rsid w:val="254A0D4A"/>
    <w:rsid w:val="25504EBA"/>
    <w:rsid w:val="255C0913"/>
    <w:rsid w:val="255F65A3"/>
    <w:rsid w:val="2567597A"/>
    <w:rsid w:val="25A53AC6"/>
    <w:rsid w:val="25DA6DFA"/>
    <w:rsid w:val="25E14C7A"/>
    <w:rsid w:val="26052839"/>
    <w:rsid w:val="26351F9D"/>
    <w:rsid w:val="26471627"/>
    <w:rsid w:val="265F1CA4"/>
    <w:rsid w:val="266F71F8"/>
    <w:rsid w:val="267B1C6F"/>
    <w:rsid w:val="267F64D1"/>
    <w:rsid w:val="26957867"/>
    <w:rsid w:val="269B185D"/>
    <w:rsid w:val="26BF1478"/>
    <w:rsid w:val="26D00FBC"/>
    <w:rsid w:val="26D646C5"/>
    <w:rsid w:val="26E51798"/>
    <w:rsid w:val="26FB67A0"/>
    <w:rsid w:val="27035654"/>
    <w:rsid w:val="27117D71"/>
    <w:rsid w:val="271679AE"/>
    <w:rsid w:val="272C0707"/>
    <w:rsid w:val="27324837"/>
    <w:rsid w:val="27390274"/>
    <w:rsid w:val="27663E6F"/>
    <w:rsid w:val="276E37A0"/>
    <w:rsid w:val="27704878"/>
    <w:rsid w:val="27990440"/>
    <w:rsid w:val="279F537D"/>
    <w:rsid w:val="27AD01DA"/>
    <w:rsid w:val="27CB18D8"/>
    <w:rsid w:val="27FE1C8A"/>
    <w:rsid w:val="27FE59FB"/>
    <w:rsid w:val="27FF6FE3"/>
    <w:rsid w:val="28013C34"/>
    <w:rsid w:val="280B3FF0"/>
    <w:rsid w:val="28284160"/>
    <w:rsid w:val="28543910"/>
    <w:rsid w:val="285507FD"/>
    <w:rsid w:val="288130EC"/>
    <w:rsid w:val="288E0E9B"/>
    <w:rsid w:val="289F1006"/>
    <w:rsid w:val="28C6759A"/>
    <w:rsid w:val="28CB7113"/>
    <w:rsid w:val="28CE4FA0"/>
    <w:rsid w:val="28D27848"/>
    <w:rsid w:val="28E15521"/>
    <w:rsid w:val="28E84B02"/>
    <w:rsid w:val="290F5406"/>
    <w:rsid w:val="291F1C70"/>
    <w:rsid w:val="294A3E4E"/>
    <w:rsid w:val="2959450E"/>
    <w:rsid w:val="29600B3C"/>
    <w:rsid w:val="2974498E"/>
    <w:rsid w:val="297B3BC8"/>
    <w:rsid w:val="297E2551"/>
    <w:rsid w:val="29A77E13"/>
    <w:rsid w:val="29A8575D"/>
    <w:rsid w:val="29B74108"/>
    <w:rsid w:val="29BA5BEE"/>
    <w:rsid w:val="29BD24A2"/>
    <w:rsid w:val="29C01785"/>
    <w:rsid w:val="29C448AF"/>
    <w:rsid w:val="2A147269"/>
    <w:rsid w:val="2A202079"/>
    <w:rsid w:val="2A2038A1"/>
    <w:rsid w:val="2A2B1576"/>
    <w:rsid w:val="2A2C46A4"/>
    <w:rsid w:val="2A537017"/>
    <w:rsid w:val="2A99523B"/>
    <w:rsid w:val="2AA415D3"/>
    <w:rsid w:val="2AA7677F"/>
    <w:rsid w:val="2AC450FA"/>
    <w:rsid w:val="2ACF1C5D"/>
    <w:rsid w:val="2ADB2B70"/>
    <w:rsid w:val="2ADF3F67"/>
    <w:rsid w:val="2B0F4FC5"/>
    <w:rsid w:val="2B155185"/>
    <w:rsid w:val="2B8F5708"/>
    <w:rsid w:val="2BCC4267"/>
    <w:rsid w:val="2BF1433B"/>
    <w:rsid w:val="2BF51A0F"/>
    <w:rsid w:val="2C0C1256"/>
    <w:rsid w:val="2C2A5978"/>
    <w:rsid w:val="2C381E79"/>
    <w:rsid w:val="2C3A5674"/>
    <w:rsid w:val="2C444745"/>
    <w:rsid w:val="2C453C96"/>
    <w:rsid w:val="2C511FF4"/>
    <w:rsid w:val="2C532BDA"/>
    <w:rsid w:val="2C690496"/>
    <w:rsid w:val="2C7E3ECE"/>
    <w:rsid w:val="2C8277A3"/>
    <w:rsid w:val="2CA40325"/>
    <w:rsid w:val="2CD71115"/>
    <w:rsid w:val="2CDB08FB"/>
    <w:rsid w:val="2CE56BC8"/>
    <w:rsid w:val="2CF06A23"/>
    <w:rsid w:val="2D065830"/>
    <w:rsid w:val="2D171994"/>
    <w:rsid w:val="2D2E004F"/>
    <w:rsid w:val="2D370E79"/>
    <w:rsid w:val="2D3B1D0D"/>
    <w:rsid w:val="2D5C4689"/>
    <w:rsid w:val="2D744BB6"/>
    <w:rsid w:val="2D7A2E98"/>
    <w:rsid w:val="2D880979"/>
    <w:rsid w:val="2DD51C8A"/>
    <w:rsid w:val="2DDB065C"/>
    <w:rsid w:val="2DDB27CB"/>
    <w:rsid w:val="2E02213E"/>
    <w:rsid w:val="2E156F36"/>
    <w:rsid w:val="2E290EE4"/>
    <w:rsid w:val="2E4630EF"/>
    <w:rsid w:val="2E5922BE"/>
    <w:rsid w:val="2E7D70CB"/>
    <w:rsid w:val="2EA350C6"/>
    <w:rsid w:val="2ECB6B32"/>
    <w:rsid w:val="2ED05CDE"/>
    <w:rsid w:val="2EE47B19"/>
    <w:rsid w:val="2EFE110B"/>
    <w:rsid w:val="2F0116F1"/>
    <w:rsid w:val="2F316EF3"/>
    <w:rsid w:val="2F3B5956"/>
    <w:rsid w:val="2F436F36"/>
    <w:rsid w:val="2F4D56BE"/>
    <w:rsid w:val="2F5A77EF"/>
    <w:rsid w:val="2F5C3B54"/>
    <w:rsid w:val="2F6517C3"/>
    <w:rsid w:val="2FA30AC3"/>
    <w:rsid w:val="2FB76FDC"/>
    <w:rsid w:val="2FDA6B1F"/>
    <w:rsid w:val="2FEA7D5E"/>
    <w:rsid w:val="2FF53476"/>
    <w:rsid w:val="300761B5"/>
    <w:rsid w:val="300C37CC"/>
    <w:rsid w:val="301950F9"/>
    <w:rsid w:val="30451BBC"/>
    <w:rsid w:val="30570AC2"/>
    <w:rsid w:val="30631264"/>
    <w:rsid w:val="30775B89"/>
    <w:rsid w:val="30AE2FF6"/>
    <w:rsid w:val="30B36B3A"/>
    <w:rsid w:val="30C94365"/>
    <w:rsid w:val="30DD173F"/>
    <w:rsid w:val="30EF0E8C"/>
    <w:rsid w:val="30F0668B"/>
    <w:rsid w:val="31001087"/>
    <w:rsid w:val="31012C04"/>
    <w:rsid w:val="31043CA0"/>
    <w:rsid w:val="310D3165"/>
    <w:rsid w:val="311B7A32"/>
    <w:rsid w:val="311C359A"/>
    <w:rsid w:val="31243FAD"/>
    <w:rsid w:val="3138414C"/>
    <w:rsid w:val="31625612"/>
    <w:rsid w:val="31812082"/>
    <w:rsid w:val="31A85121"/>
    <w:rsid w:val="31B5579D"/>
    <w:rsid w:val="31D82885"/>
    <w:rsid w:val="31DA4629"/>
    <w:rsid w:val="31E610D6"/>
    <w:rsid w:val="31F12C79"/>
    <w:rsid w:val="31FC517A"/>
    <w:rsid w:val="32016C06"/>
    <w:rsid w:val="32056724"/>
    <w:rsid w:val="322C6B01"/>
    <w:rsid w:val="32366140"/>
    <w:rsid w:val="323E5792"/>
    <w:rsid w:val="32592364"/>
    <w:rsid w:val="32601BAD"/>
    <w:rsid w:val="32607DFF"/>
    <w:rsid w:val="3264169D"/>
    <w:rsid w:val="326C21F0"/>
    <w:rsid w:val="328D3EE9"/>
    <w:rsid w:val="328F4699"/>
    <w:rsid w:val="32BF0EDD"/>
    <w:rsid w:val="3301622E"/>
    <w:rsid w:val="3307027A"/>
    <w:rsid w:val="330813AC"/>
    <w:rsid w:val="33197425"/>
    <w:rsid w:val="33490893"/>
    <w:rsid w:val="33751688"/>
    <w:rsid w:val="33B05B99"/>
    <w:rsid w:val="33B54F5B"/>
    <w:rsid w:val="33BB5540"/>
    <w:rsid w:val="33C10429"/>
    <w:rsid w:val="33CF2B46"/>
    <w:rsid w:val="33D66175"/>
    <w:rsid w:val="33DF23F2"/>
    <w:rsid w:val="34342C2C"/>
    <w:rsid w:val="34386061"/>
    <w:rsid w:val="34711F31"/>
    <w:rsid w:val="3485049E"/>
    <w:rsid w:val="34964F8E"/>
    <w:rsid w:val="34B01925"/>
    <w:rsid w:val="34C15096"/>
    <w:rsid w:val="34C51D78"/>
    <w:rsid w:val="34D41A76"/>
    <w:rsid w:val="34DA28BD"/>
    <w:rsid w:val="34EE16F2"/>
    <w:rsid w:val="34F12952"/>
    <w:rsid w:val="3518676F"/>
    <w:rsid w:val="354B05E0"/>
    <w:rsid w:val="355159DA"/>
    <w:rsid w:val="355C12DE"/>
    <w:rsid w:val="355F7EFA"/>
    <w:rsid w:val="35613C72"/>
    <w:rsid w:val="3563244F"/>
    <w:rsid w:val="356527EF"/>
    <w:rsid w:val="35753BC1"/>
    <w:rsid w:val="359027A9"/>
    <w:rsid w:val="35A76B10"/>
    <w:rsid w:val="35AE1209"/>
    <w:rsid w:val="35C77203"/>
    <w:rsid w:val="35D16AE6"/>
    <w:rsid w:val="35D72AD1"/>
    <w:rsid w:val="35E93C67"/>
    <w:rsid w:val="35FB58C9"/>
    <w:rsid w:val="36010856"/>
    <w:rsid w:val="36140EBC"/>
    <w:rsid w:val="36215F59"/>
    <w:rsid w:val="362D05B8"/>
    <w:rsid w:val="365D444A"/>
    <w:rsid w:val="36780E07"/>
    <w:rsid w:val="36823FFB"/>
    <w:rsid w:val="36841031"/>
    <w:rsid w:val="36954B86"/>
    <w:rsid w:val="36957B0E"/>
    <w:rsid w:val="36A27736"/>
    <w:rsid w:val="36B5066C"/>
    <w:rsid w:val="36C97CBE"/>
    <w:rsid w:val="370178A6"/>
    <w:rsid w:val="371D006C"/>
    <w:rsid w:val="371D5E6B"/>
    <w:rsid w:val="375909AC"/>
    <w:rsid w:val="376D2A25"/>
    <w:rsid w:val="3779106C"/>
    <w:rsid w:val="3780579E"/>
    <w:rsid w:val="379E634E"/>
    <w:rsid w:val="37A86C53"/>
    <w:rsid w:val="37C17498"/>
    <w:rsid w:val="37D85EC2"/>
    <w:rsid w:val="37F65E30"/>
    <w:rsid w:val="37F66F6A"/>
    <w:rsid w:val="38136DF0"/>
    <w:rsid w:val="381C69BD"/>
    <w:rsid w:val="3822621E"/>
    <w:rsid w:val="3825589D"/>
    <w:rsid w:val="382D0783"/>
    <w:rsid w:val="38321BD3"/>
    <w:rsid w:val="383731AD"/>
    <w:rsid w:val="383A69FC"/>
    <w:rsid w:val="383D1463"/>
    <w:rsid w:val="384B05C1"/>
    <w:rsid w:val="38511599"/>
    <w:rsid w:val="38984C96"/>
    <w:rsid w:val="389C497F"/>
    <w:rsid w:val="38A6226A"/>
    <w:rsid w:val="38CD30C2"/>
    <w:rsid w:val="38E64352"/>
    <w:rsid w:val="38EC419A"/>
    <w:rsid w:val="39217E6B"/>
    <w:rsid w:val="39420AD9"/>
    <w:rsid w:val="396177B0"/>
    <w:rsid w:val="39665F8E"/>
    <w:rsid w:val="396B12CF"/>
    <w:rsid w:val="396F03A8"/>
    <w:rsid w:val="3979197F"/>
    <w:rsid w:val="397A6F78"/>
    <w:rsid w:val="39882B79"/>
    <w:rsid w:val="398F0341"/>
    <w:rsid w:val="399C23D4"/>
    <w:rsid w:val="39AD543B"/>
    <w:rsid w:val="39B71D1E"/>
    <w:rsid w:val="39C35F0C"/>
    <w:rsid w:val="39E838F8"/>
    <w:rsid w:val="39E96772"/>
    <w:rsid w:val="39F330D2"/>
    <w:rsid w:val="39FF5F80"/>
    <w:rsid w:val="3A1127CD"/>
    <w:rsid w:val="3A246826"/>
    <w:rsid w:val="3A360662"/>
    <w:rsid w:val="3A394275"/>
    <w:rsid w:val="3A42339F"/>
    <w:rsid w:val="3A46329D"/>
    <w:rsid w:val="3A4D2E82"/>
    <w:rsid w:val="3A793DA1"/>
    <w:rsid w:val="3A8324AD"/>
    <w:rsid w:val="3AB07408"/>
    <w:rsid w:val="3AB129D7"/>
    <w:rsid w:val="3AC9659D"/>
    <w:rsid w:val="3AD81A4C"/>
    <w:rsid w:val="3ADD2E87"/>
    <w:rsid w:val="3AF41A4D"/>
    <w:rsid w:val="3AFA0A6E"/>
    <w:rsid w:val="3B0025AB"/>
    <w:rsid w:val="3B054287"/>
    <w:rsid w:val="3B0C28D2"/>
    <w:rsid w:val="3B0E36DA"/>
    <w:rsid w:val="3B194FEF"/>
    <w:rsid w:val="3B381322"/>
    <w:rsid w:val="3B437223"/>
    <w:rsid w:val="3B483EC7"/>
    <w:rsid w:val="3B585B17"/>
    <w:rsid w:val="3B713E68"/>
    <w:rsid w:val="3B8C62D6"/>
    <w:rsid w:val="3B8E0680"/>
    <w:rsid w:val="3BAA7334"/>
    <w:rsid w:val="3BCB2815"/>
    <w:rsid w:val="3BCB60EB"/>
    <w:rsid w:val="3BD553B9"/>
    <w:rsid w:val="3BDF30D1"/>
    <w:rsid w:val="3BE15B0C"/>
    <w:rsid w:val="3BF43C71"/>
    <w:rsid w:val="3BF515B8"/>
    <w:rsid w:val="3C095063"/>
    <w:rsid w:val="3C0A47E2"/>
    <w:rsid w:val="3C110935"/>
    <w:rsid w:val="3C153A08"/>
    <w:rsid w:val="3C1E0B0E"/>
    <w:rsid w:val="3C241E9D"/>
    <w:rsid w:val="3C410359"/>
    <w:rsid w:val="3C41617D"/>
    <w:rsid w:val="3C540855"/>
    <w:rsid w:val="3C5B2272"/>
    <w:rsid w:val="3C5B4D25"/>
    <w:rsid w:val="3C605793"/>
    <w:rsid w:val="3C7C688A"/>
    <w:rsid w:val="3CA408E8"/>
    <w:rsid w:val="3CB1029C"/>
    <w:rsid w:val="3CB11983"/>
    <w:rsid w:val="3CB53BFE"/>
    <w:rsid w:val="3CE52711"/>
    <w:rsid w:val="3CF75DFC"/>
    <w:rsid w:val="3D000214"/>
    <w:rsid w:val="3D0B7719"/>
    <w:rsid w:val="3D247F6B"/>
    <w:rsid w:val="3D302759"/>
    <w:rsid w:val="3D3D0E5A"/>
    <w:rsid w:val="3D557E03"/>
    <w:rsid w:val="3D6675E2"/>
    <w:rsid w:val="3D6802F9"/>
    <w:rsid w:val="3D685E7C"/>
    <w:rsid w:val="3D6E2C59"/>
    <w:rsid w:val="3D790984"/>
    <w:rsid w:val="3D966196"/>
    <w:rsid w:val="3DC15167"/>
    <w:rsid w:val="3DC34CD5"/>
    <w:rsid w:val="3DCC459A"/>
    <w:rsid w:val="3DEA59D2"/>
    <w:rsid w:val="3E001EA9"/>
    <w:rsid w:val="3E0155AD"/>
    <w:rsid w:val="3E1F6C4B"/>
    <w:rsid w:val="3E2C65BF"/>
    <w:rsid w:val="3E3715E6"/>
    <w:rsid w:val="3E3F22D3"/>
    <w:rsid w:val="3E5A5506"/>
    <w:rsid w:val="3E652E9C"/>
    <w:rsid w:val="3E66679D"/>
    <w:rsid w:val="3E962D9D"/>
    <w:rsid w:val="3E9C21BE"/>
    <w:rsid w:val="3EB52AFC"/>
    <w:rsid w:val="3EB63280"/>
    <w:rsid w:val="3EC20828"/>
    <w:rsid w:val="3ECC2AA4"/>
    <w:rsid w:val="3ED87460"/>
    <w:rsid w:val="3EE34F62"/>
    <w:rsid w:val="3EE93C03"/>
    <w:rsid w:val="3EF4789C"/>
    <w:rsid w:val="3F0538C0"/>
    <w:rsid w:val="3F062A53"/>
    <w:rsid w:val="3F0A67A9"/>
    <w:rsid w:val="3F283D0B"/>
    <w:rsid w:val="3F3D32DC"/>
    <w:rsid w:val="3F5B377D"/>
    <w:rsid w:val="3F6D7DF3"/>
    <w:rsid w:val="3FB32B32"/>
    <w:rsid w:val="3FF40A03"/>
    <w:rsid w:val="3FF63EE3"/>
    <w:rsid w:val="3FFC43F8"/>
    <w:rsid w:val="40156940"/>
    <w:rsid w:val="401B4E4B"/>
    <w:rsid w:val="40322DDA"/>
    <w:rsid w:val="40354679"/>
    <w:rsid w:val="403A1C8F"/>
    <w:rsid w:val="404E573A"/>
    <w:rsid w:val="40754A75"/>
    <w:rsid w:val="408B4867"/>
    <w:rsid w:val="40B02662"/>
    <w:rsid w:val="40DF3FA9"/>
    <w:rsid w:val="40DF5D28"/>
    <w:rsid w:val="40E13184"/>
    <w:rsid w:val="40F37A58"/>
    <w:rsid w:val="40F938F8"/>
    <w:rsid w:val="410B5BA8"/>
    <w:rsid w:val="41262E23"/>
    <w:rsid w:val="412D25B6"/>
    <w:rsid w:val="414A326C"/>
    <w:rsid w:val="414E603F"/>
    <w:rsid w:val="416777AB"/>
    <w:rsid w:val="416D6BC8"/>
    <w:rsid w:val="416F4571"/>
    <w:rsid w:val="41735459"/>
    <w:rsid w:val="417B7512"/>
    <w:rsid w:val="417D7B6B"/>
    <w:rsid w:val="41C55588"/>
    <w:rsid w:val="41D2487F"/>
    <w:rsid w:val="42055B33"/>
    <w:rsid w:val="421A0B83"/>
    <w:rsid w:val="42311F2D"/>
    <w:rsid w:val="42332E3A"/>
    <w:rsid w:val="426260DC"/>
    <w:rsid w:val="42822C6D"/>
    <w:rsid w:val="4283791D"/>
    <w:rsid w:val="428B7458"/>
    <w:rsid w:val="42957651"/>
    <w:rsid w:val="42C4328B"/>
    <w:rsid w:val="42D31F27"/>
    <w:rsid w:val="42D4017C"/>
    <w:rsid w:val="42D62B6D"/>
    <w:rsid w:val="42F84106"/>
    <w:rsid w:val="430A2AF4"/>
    <w:rsid w:val="433454BE"/>
    <w:rsid w:val="43365742"/>
    <w:rsid w:val="4368445E"/>
    <w:rsid w:val="436E00E3"/>
    <w:rsid w:val="438B45A3"/>
    <w:rsid w:val="43901A1E"/>
    <w:rsid w:val="439E40AE"/>
    <w:rsid w:val="43A6388C"/>
    <w:rsid w:val="43AD1F46"/>
    <w:rsid w:val="43BB2753"/>
    <w:rsid w:val="43E5316C"/>
    <w:rsid w:val="43E54B70"/>
    <w:rsid w:val="43F645D6"/>
    <w:rsid w:val="43F670B2"/>
    <w:rsid w:val="440C3942"/>
    <w:rsid w:val="442545B7"/>
    <w:rsid w:val="44284413"/>
    <w:rsid w:val="443E0535"/>
    <w:rsid w:val="443F32FA"/>
    <w:rsid w:val="44704B0A"/>
    <w:rsid w:val="447E022A"/>
    <w:rsid w:val="44817267"/>
    <w:rsid w:val="449B2C08"/>
    <w:rsid w:val="44D40060"/>
    <w:rsid w:val="44E26451"/>
    <w:rsid w:val="45013506"/>
    <w:rsid w:val="45127C03"/>
    <w:rsid w:val="45246A6A"/>
    <w:rsid w:val="454C400F"/>
    <w:rsid w:val="454D0082"/>
    <w:rsid w:val="455B0133"/>
    <w:rsid w:val="455B4DC9"/>
    <w:rsid w:val="455C6204"/>
    <w:rsid w:val="45621D5B"/>
    <w:rsid w:val="45717CEA"/>
    <w:rsid w:val="4579725D"/>
    <w:rsid w:val="458962E8"/>
    <w:rsid w:val="45A409ED"/>
    <w:rsid w:val="45A961E4"/>
    <w:rsid w:val="45B521CA"/>
    <w:rsid w:val="45C94DCF"/>
    <w:rsid w:val="45F14B9E"/>
    <w:rsid w:val="45F4263A"/>
    <w:rsid w:val="45F428E0"/>
    <w:rsid w:val="461D1E37"/>
    <w:rsid w:val="465E6349"/>
    <w:rsid w:val="468561CA"/>
    <w:rsid w:val="46900D01"/>
    <w:rsid w:val="46995F99"/>
    <w:rsid w:val="46A952BF"/>
    <w:rsid w:val="46B21728"/>
    <w:rsid w:val="46C10A14"/>
    <w:rsid w:val="46CE19F8"/>
    <w:rsid w:val="46DE08D6"/>
    <w:rsid w:val="46E32B60"/>
    <w:rsid w:val="46F00A38"/>
    <w:rsid w:val="472246EA"/>
    <w:rsid w:val="4726494B"/>
    <w:rsid w:val="472E5FDE"/>
    <w:rsid w:val="4730664C"/>
    <w:rsid w:val="47321912"/>
    <w:rsid w:val="473F5DDD"/>
    <w:rsid w:val="474D5AFC"/>
    <w:rsid w:val="475A6773"/>
    <w:rsid w:val="47783DC3"/>
    <w:rsid w:val="47804307"/>
    <w:rsid w:val="4791398A"/>
    <w:rsid w:val="47977CDB"/>
    <w:rsid w:val="479A4CE8"/>
    <w:rsid w:val="47C748F7"/>
    <w:rsid w:val="47C84024"/>
    <w:rsid w:val="47EA4517"/>
    <w:rsid w:val="48164C1B"/>
    <w:rsid w:val="481975E0"/>
    <w:rsid w:val="48276F9D"/>
    <w:rsid w:val="483D40CA"/>
    <w:rsid w:val="486636F4"/>
    <w:rsid w:val="488F6425"/>
    <w:rsid w:val="48A713C7"/>
    <w:rsid w:val="48B7695A"/>
    <w:rsid w:val="48E90DFD"/>
    <w:rsid w:val="491A3825"/>
    <w:rsid w:val="49226D5E"/>
    <w:rsid w:val="493406CD"/>
    <w:rsid w:val="49381DEE"/>
    <w:rsid w:val="493B2AC3"/>
    <w:rsid w:val="49461077"/>
    <w:rsid w:val="49470F79"/>
    <w:rsid w:val="49487EE6"/>
    <w:rsid w:val="494E3B36"/>
    <w:rsid w:val="49572810"/>
    <w:rsid w:val="49777AB0"/>
    <w:rsid w:val="497913CB"/>
    <w:rsid w:val="49816239"/>
    <w:rsid w:val="49845C45"/>
    <w:rsid w:val="498B3956"/>
    <w:rsid w:val="49965AEC"/>
    <w:rsid w:val="49C01DE9"/>
    <w:rsid w:val="49D07890"/>
    <w:rsid w:val="49E00517"/>
    <w:rsid w:val="49F50147"/>
    <w:rsid w:val="49F50FEC"/>
    <w:rsid w:val="49FC7FB5"/>
    <w:rsid w:val="4A007AA5"/>
    <w:rsid w:val="4A1B51B3"/>
    <w:rsid w:val="4A4554B8"/>
    <w:rsid w:val="4A5976A6"/>
    <w:rsid w:val="4A5E3966"/>
    <w:rsid w:val="4A6F0F17"/>
    <w:rsid w:val="4A7B0C83"/>
    <w:rsid w:val="4A942A2E"/>
    <w:rsid w:val="4A963F66"/>
    <w:rsid w:val="4AA059D7"/>
    <w:rsid w:val="4AB91D68"/>
    <w:rsid w:val="4AF34F14"/>
    <w:rsid w:val="4B2C3E78"/>
    <w:rsid w:val="4B5A179F"/>
    <w:rsid w:val="4B5B4015"/>
    <w:rsid w:val="4B773D82"/>
    <w:rsid w:val="4B7A5635"/>
    <w:rsid w:val="4B9366F7"/>
    <w:rsid w:val="4BA07E7F"/>
    <w:rsid w:val="4BA27C1C"/>
    <w:rsid w:val="4BC464BA"/>
    <w:rsid w:val="4BF13331"/>
    <w:rsid w:val="4BF5032D"/>
    <w:rsid w:val="4C013661"/>
    <w:rsid w:val="4C115F9A"/>
    <w:rsid w:val="4C371D6F"/>
    <w:rsid w:val="4C4D2D4A"/>
    <w:rsid w:val="4C577725"/>
    <w:rsid w:val="4C6822BE"/>
    <w:rsid w:val="4C76436C"/>
    <w:rsid w:val="4C7F393E"/>
    <w:rsid w:val="4C9D6AA1"/>
    <w:rsid w:val="4CAC77BE"/>
    <w:rsid w:val="4CE30085"/>
    <w:rsid w:val="4CE92A73"/>
    <w:rsid w:val="4CEC3B68"/>
    <w:rsid w:val="4CF83C05"/>
    <w:rsid w:val="4CF8639A"/>
    <w:rsid w:val="4D483928"/>
    <w:rsid w:val="4D5C6142"/>
    <w:rsid w:val="4D740170"/>
    <w:rsid w:val="4DA1378E"/>
    <w:rsid w:val="4DB76A06"/>
    <w:rsid w:val="4DBC60D7"/>
    <w:rsid w:val="4DCB68F7"/>
    <w:rsid w:val="4DCE6352"/>
    <w:rsid w:val="4DD64C15"/>
    <w:rsid w:val="4DF95127"/>
    <w:rsid w:val="4DFF4C65"/>
    <w:rsid w:val="4E0E5AF7"/>
    <w:rsid w:val="4E2F6BAB"/>
    <w:rsid w:val="4E3D564E"/>
    <w:rsid w:val="4E93713A"/>
    <w:rsid w:val="4E9A0D30"/>
    <w:rsid w:val="4EBF2070"/>
    <w:rsid w:val="4EC72940"/>
    <w:rsid w:val="4ED67B50"/>
    <w:rsid w:val="4ED96BA4"/>
    <w:rsid w:val="4EDE412D"/>
    <w:rsid w:val="4EE03B24"/>
    <w:rsid w:val="4F043B94"/>
    <w:rsid w:val="4F195E60"/>
    <w:rsid w:val="4F6E3703"/>
    <w:rsid w:val="4FA638E6"/>
    <w:rsid w:val="4FA91930"/>
    <w:rsid w:val="4FFF6109"/>
    <w:rsid w:val="500A222F"/>
    <w:rsid w:val="50306C0B"/>
    <w:rsid w:val="503E1C80"/>
    <w:rsid w:val="50485192"/>
    <w:rsid w:val="504F5199"/>
    <w:rsid w:val="5059653D"/>
    <w:rsid w:val="506A12AA"/>
    <w:rsid w:val="506B379F"/>
    <w:rsid w:val="508638CA"/>
    <w:rsid w:val="508A631B"/>
    <w:rsid w:val="508B59EE"/>
    <w:rsid w:val="509F5BB5"/>
    <w:rsid w:val="50E517A3"/>
    <w:rsid w:val="50E747F3"/>
    <w:rsid w:val="50EE10DE"/>
    <w:rsid w:val="50F43882"/>
    <w:rsid w:val="50F86314"/>
    <w:rsid w:val="510776AF"/>
    <w:rsid w:val="511A58F1"/>
    <w:rsid w:val="511D256C"/>
    <w:rsid w:val="514106BE"/>
    <w:rsid w:val="51443F69"/>
    <w:rsid w:val="51944027"/>
    <w:rsid w:val="51E1640E"/>
    <w:rsid w:val="52057F80"/>
    <w:rsid w:val="52650DED"/>
    <w:rsid w:val="526E7576"/>
    <w:rsid w:val="52715B58"/>
    <w:rsid w:val="5276017A"/>
    <w:rsid w:val="527903F5"/>
    <w:rsid w:val="5287795E"/>
    <w:rsid w:val="528A7530"/>
    <w:rsid w:val="52AD1515"/>
    <w:rsid w:val="52D63A99"/>
    <w:rsid w:val="52D94CF1"/>
    <w:rsid w:val="52E066C6"/>
    <w:rsid w:val="52E1212C"/>
    <w:rsid w:val="52E410BC"/>
    <w:rsid w:val="52E9096C"/>
    <w:rsid w:val="531567D7"/>
    <w:rsid w:val="53220A8C"/>
    <w:rsid w:val="53391617"/>
    <w:rsid w:val="533B52F7"/>
    <w:rsid w:val="5349426B"/>
    <w:rsid w:val="53503320"/>
    <w:rsid w:val="535C0E74"/>
    <w:rsid w:val="535D2E60"/>
    <w:rsid w:val="535E561C"/>
    <w:rsid w:val="53741E85"/>
    <w:rsid w:val="53835026"/>
    <w:rsid w:val="5386726D"/>
    <w:rsid w:val="53CF21C3"/>
    <w:rsid w:val="53E43F94"/>
    <w:rsid w:val="542813F0"/>
    <w:rsid w:val="542D40CD"/>
    <w:rsid w:val="5439265D"/>
    <w:rsid w:val="543F3434"/>
    <w:rsid w:val="543F566E"/>
    <w:rsid w:val="544229A0"/>
    <w:rsid w:val="54525319"/>
    <w:rsid w:val="5455046E"/>
    <w:rsid w:val="545C3B2A"/>
    <w:rsid w:val="5475243A"/>
    <w:rsid w:val="548521D1"/>
    <w:rsid w:val="54880DC3"/>
    <w:rsid w:val="548F31AF"/>
    <w:rsid w:val="5495762B"/>
    <w:rsid w:val="54BE6593"/>
    <w:rsid w:val="54CB0CB0"/>
    <w:rsid w:val="54D5147C"/>
    <w:rsid w:val="54E70C00"/>
    <w:rsid w:val="54FC530D"/>
    <w:rsid w:val="5503044A"/>
    <w:rsid w:val="553272E3"/>
    <w:rsid w:val="55466485"/>
    <w:rsid w:val="555E784F"/>
    <w:rsid w:val="55713A97"/>
    <w:rsid w:val="558477DD"/>
    <w:rsid w:val="55876190"/>
    <w:rsid w:val="559C3432"/>
    <w:rsid w:val="55A35CC1"/>
    <w:rsid w:val="55BA66A9"/>
    <w:rsid w:val="55D80B1F"/>
    <w:rsid w:val="55DC70F4"/>
    <w:rsid w:val="560A591A"/>
    <w:rsid w:val="561D1627"/>
    <w:rsid w:val="563038B8"/>
    <w:rsid w:val="56317B21"/>
    <w:rsid w:val="56351736"/>
    <w:rsid w:val="564000A1"/>
    <w:rsid w:val="564C7024"/>
    <w:rsid w:val="56710CDC"/>
    <w:rsid w:val="56764C4B"/>
    <w:rsid w:val="56A62B21"/>
    <w:rsid w:val="56CC6E9E"/>
    <w:rsid w:val="56E51E92"/>
    <w:rsid w:val="56E570C5"/>
    <w:rsid w:val="56FE672C"/>
    <w:rsid w:val="57275D5E"/>
    <w:rsid w:val="572C48E8"/>
    <w:rsid w:val="572D5C52"/>
    <w:rsid w:val="573E7343"/>
    <w:rsid w:val="57454D4A"/>
    <w:rsid w:val="57514029"/>
    <w:rsid w:val="57595348"/>
    <w:rsid w:val="575E3F98"/>
    <w:rsid w:val="57833440"/>
    <w:rsid w:val="57874208"/>
    <w:rsid w:val="57882019"/>
    <w:rsid w:val="578D2120"/>
    <w:rsid w:val="579D4947"/>
    <w:rsid w:val="57B23877"/>
    <w:rsid w:val="57B36157"/>
    <w:rsid w:val="57B93A8A"/>
    <w:rsid w:val="57EC0EEF"/>
    <w:rsid w:val="57F93398"/>
    <w:rsid w:val="580A14C1"/>
    <w:rsid w:val="5837339B"/>
    <w:rsid w:val="583C31B4"/>
    <w:rsid w:val="584C4556"/>
    <w:rsid w:val="58586CFE"/>
    <w:rsid w:val="587633F2"/>
    <w:rsid w:val="58AC2BA6"/>
    <w:rsid w:val="58AD5CF4"/>
    <w:rsid w:val="58CD1431"/>
    <w:rsid w:val="59342755"/>
    <w:rsid w:val="59380DF6"/>
    <w:rsid w:val="593B78BE"/>
    <w:rsid w:val="593C3F2A"/>
    <w:rsid w:val="595C141C"/>
    <w:rsid w:val="59635DF5"/>
    <w:rsid w:val="59663EAA"/>
    <w:rsid w:val="596D0588"/>
    <w:rsid w:val="597F12EA"/>
    <w:rsid w:val="59853CC1"/>
    <w:rsid w:val="59A45FA0"/>
    <w:rsid w:val="59A541C5"/>
    <w:rsid w:val="59AD05EC"/>
    <w:rsid w:val="59BD666F"/>
    <w:rsid w:val="59CF532A"/>
    <w:rsid w:val="59D506A7"/>
    <w:rsid w:val="59F207FC"/>
    <w:rsid w:val="59FC2729"/>
    <w:rsid w:val="5A107D37"/>
    <w:rsid w:val="5A1B76FE"/>
    <w:rsid w:val="5A2B7280"/>
    <w:rsid w:val="5A2D2912"/>
    <w:rsid w:val="5A384871"/>
    <w:rsid w:val="5A427B89"/>
    <w:rsid w:val="5A475F85"/>
    <w:rsid w:val="5A496136"/>
    <w:rsid w:val="5A5C0D28"/>
    <w:rsid w:val="5A6341E0"/>
    <w:rsid w:val="5A8E4B76"/>
    <w:rsid w:val="5A951C98"/>
    <w:rsid w:val="5A9A35FE"/>
    <w:rsid w:val="5AA1673B"/>
    <w:rsid w:val="5ABC4F4B"/>
    <w:rsid w:val="5AC76E41"/>
    <w:rsid w:val="5AD654D0"/>
    <w:rsid w:val="5AE71E5C"/>
    <w:rsid w:val="5AFA6407"/>
    <w:rsid w:val="5B057795"/>
    <w:rsid w:val="5B123195"/>
    <w:rsid w:val="5B1769FD"/>
    <w:rsid w:val="5B215ACE"/>
    <w:rsid w:val="5B4517BC"/>
    <w:rsid w:val="5B453FE5"/>
    <w:rsid w:val="5B915AB8"/>
    <w:rsid w:val="5BAD57B7"/>
    <w:rsid w:val="5BB029AE"/>
    <w:rsid w:val="5BBA55DA"/>
    <w:rsid w:val="5BBB690A"/>
    <w:rsid w:val="5BBE0EDC"/>
    <w:rsid w:val="5BF31966"/>
    <w:rsid w:val="5C174686"/>
    <w:rsid w:val="5C225CD5"/>
    <w:rsid w:val="5C3057F6"/>
    <w:rsid w:val="5C3D3477"/>
    <w:rsid w:val="5C491EA8"/>
    <w:rsid w:val="5C5D4917"/>
    <w:rsid w:val="5C6E6DAF"/>
    <w:rsid w:val="5C76087C"/>
    <w:rsid w:val="5C78796F"/>
    <w:rsid w:val="5C7C1D43"/>
    <w:rsid w:val="5C903D98"/>
    <w:rsid w:val="5C9C495A"/>
    <w:rsid w:val="5CB07109"/>
    <w:rsid w:val="5CB23A9A"/>
    <w:rsid w:val="5CCE41E1"/>
    <w:rsid w:val="5CE97C39"/>
    <w:rsid w:val="5D104090"/>
    <w:rsid w:val="5D121F6A"/>
    <w:rsid w:val="5D297F84"/>
    <w:rsid w:val="5D3A69D3"/>
    <w:rsid w:val="5D4B54DD"/>
    <w:rsid w:val="5D537A94"/>
    <w:rsid w:val="5D5A1F51"/>
    <w:rsid w:val="5D9D12F5"/>
    <w:rsid w:val="5DA036EE"/>
    <w:rsid w:val="5DBC4D87"/>
    <w:rsid w:val="5DD862B5"/>
    <w:rsid w:val="5DDB1F64"/>
    <w:rsid w:val="5DDD455F"/>
    <w:rsid w:val="5DE96998"/>
    <w:rsid w:val="5E0F7E5F"/>
    <w:rsid w:val="5E1B5087"/>
    <w:rsid w:val="5E6E102A"/>
    <w:rsid w:val="5EA734E4"/>
    <w:rsid w:val="5EC677DA"/>
    <w:rsid w:val="5ED25D32"/>
    <w:rsid w:val="5EDF089E"/>
    <w:rsid w:val="5EEC63F2"/>
    <w:rsid w:val="5EF534F9"/>
    <w:rsid w:val="5F0C67C2"/>
    <w:rsid w:val="5F42431A"/>
    <w:rsid w:val="5F5547AB"/>
    <w:rsid w:val="5F571475"/>
    <w:rsid w:val="5F6C347F"/>
    <w:rsid w:val="5F7B42E3"/>
    <w:rsid w:val="5F7C072B"/>
    <w:rsid w:val="5F954394"/>
    <w:rsid w:val="5F960B2B"/>
    <w:rsid w:val="5FA016B7"/>
    <w:rsid w:val="5FC42827"/>
    <w:rsid w:val="5FCE4022"/>
    <w:rsid w:val="5FFE1F39"/>
    <w:rsid w:val="60003F04"/>
    <w:rsid w:val="600B7F5A"/>
    <w:rsid w:val="600C0AFA"/>
    <w:rsid w:val="6029154D"/>
    <w:rsid w:val="60580955"/>
    <w:rsid w:val="60614D83"/>
    <w:rsid w:val="60632AE9"/>
    <w:rsid w:val="607408A0"/>
    <w:rsid w:val="607C676C"/>
    <w:rsid w:val="60A056E7"/>
    <w:rsid w:val="60AD570E"/>
    <w:rsid w:val="60BA6DD7"/>
    <w:rsid w:val="60C65C41"/>
    <w:rsid w:val="60CC2038"/>
    <w:rsid w:val="60D12A29"/>
    <w:rsid w:val="60D204EC"/>
    <w:rsid w:val="60D47616"/>
    <w:rsid w:val="60DA0BF8"/>
    <w:rsid w:val="60DB312E"/>
    <w:rsid w:val="60E554D5"/>
    <w:rsid w:val="60FA4CF8"/>
    <w:rsid w:val="60FE1827"/>
    <w:rsid w:val="6106379C"/>
    <w:rsid w:val="611E6C3B"/>
    <w:rsid w:val="612D5EC3"/>
    <w:rsid w:val="613E1E53"/>
    <w:rsid w:val="614222A6"/>
    <w:rsid w:val="6162299C"/>
    <w:rsid w:val="617D0CA4"/>
    <w:rsid w:val="618A7AAC"/>
    <w:rsid w:val="61A31DFF"/>
    <w:rsid w:val="61B054B5"/>
    <w:rsid w:val="61BC3E5A"/>
    <w:rsid w:val="61DC68BA"/>
    <w:rsid w:val="61E237BA"/>
    <w:rsid w:val="61EF2482"/>
    <w:rsid w:val="61F04BA2"/>
    <w:rsid w:val="61F651DA"/>
    <w:rsid w:val="6201317C"/>
    <w:rsid w:val="62145393"/>
    <w:rsid w:val="622539B8"/>
    <w:rsid w:val="62282D18"/>
    <w:rsid w:val="62314848"/>
    <w:rsid w:val="62570027"/>
    <w:rsid w:val="62732569"/>
    <w:rsid w:val="62896F64"/>
    <w:rsid w:val="628B41FB"/>
    <w:rsid w:val="62A07565"/>
    <w:rsid w:val="62A91FE3"/>
    <w:rsid w:val="62B10B65"/>
    <w:rsid w:val="62BF1942"/>
    <w:rsid w:val="62BF65FF"/>
    <w:rsid w:val="62C7680A"/>
    <w:rsid w:val="62CD4B88"/>
    <w:rsid w:val="62CF0EC4"/>
    <w:rsid w:val="62D624B7"/>
    <w:rsid w:val="62E05C2A"/>
    <w:rsid w:val="62EC01DA"/>
    <w:rsid w:val="62FD1F6E"/>
    <w:rsid w:val="632B2E03"/>
    <w:rsid w:val="633210E0"/>
    <w:rsid w:val="63384056"/>
    <w:rsid w:val="635A3B41"/>
    <w:rsid w:val="636D0083"/>
    <w:rsid w:val="63723C6C"/>
    <w:rsid w:val="6373422E"/>
    <w:rsid w:val="63895E98"/>
    <w:rsid w:val="638D69A9"/>
    <w:rsid w:val="638E47A4"/>
    <w:rsid w:val="63934D50"/>
    <w:rsid w:val="63981CEA"/>
    <w:rsid w:val="639A10B9"/>
    <w:rsid w:val="63AA1959"/>
    <w:rsid w:val="63F975E8"/>
    <w:rsid w:val="642430C3"/>
    <w:rsid w:val="643C28AA"/>
    <w:rsid w:val="643C6545"/>
    <w:rsid w:val="647C34E7"/>
    <w:rsid w:val="649716A0"/>
    <w:rsid w:val="64A77044"/>
    <w:rsid w:val="652414F0"/>
    <w:rsid w:val="653308D7"/>
    <w:rsid w:val="653A493C"/>
    <w:rsid w:val="653F1EFC"/>
    <w:rsid w:val="65426D6C"/>
    <w:rsid w:val="65742DBF"/>
    <w:rsid w:val="657A6506"/>
    <w:rsid w:val="65816E9E"/>
    <w:rsid w:val="65995477"/>
    <w:rsid w:val="659C34FD"/>
    <w:rsid w:val="659F3FC6"/>
    <w:rsid w:val="65A9491F"/>
    <w:rsid w:val="65AA7564"/>
    <w:rsid w:val="65BD4645"/>
    <w:rsid w:val="65BF2DAE"/>
    <w:rsid w:val="65C5796B"/>
    <w:rsid w:val="65C65686"/>
    <w:rsid w:val="66037DFB"/>
    <w:rsid w:val="66164583"/>
    <w:rsid w:val="661701F9"/>
    <w:rsid w:val="66324ABD"/>
    <w:rsid w:val="66342B59"/>
    <w:rsid w:val="66732065"/>
    <w:rsid w:val="667D6E71"/>
    <w:rsid w:val="66807B4C"/>
    <w:rsid w:val="66930440"/>
    <w:rsid w:val="66935328"/>
    <w:rsid w:val="66995558"/>
    <w:rsid w:val="669A287A"/>
    <w:rsid w:val="669E707D"/>
    <w:rsid w:val="66A72624"/>
    <w:rsid w:val="66D76F8A"/>
    <w:rsid w:val="66E81BE1"/>
    <w:rsid w:val="66E845EE"/>
    <w:rsid w:val="66F06CD8"/>
    <w:rsid w:val="6711019E"/>
    <w:rsid w:val="67530DBD"/>
    <w:rsid w:val="677553E5"/>
    <w:rsid w:val="67900263"/>
    <w:rsid w:val="67A61834"/>
    <w:rsid w:val="67B374C4"/>
    <w:rsid w:val="67B52764"/>
    <w:rsid w:val="67EB36EB"/>
    <w:rsid w:val="67F26828"/>
    <w:rsid w:val="680A0F7E"/>
    <w:rsid w:val="680F32C3"/>
    <w:rsid w:val="682E35D8"/>
    <w:rsid w:val="68310B99"/>
    <w:rsid w:val="68342BAE"/>
    <w:rsid w:val="68564350"/>
    <w:rsid w:val="68570DF0"/>
    <w:rsid w:val="688F7E36"/>
    <w:rsid w:val="68950390"/>
    <w:rsid w:val="689E1D43"/>
    <w:rsid w:val="689E6CEC"/>
    <w:rsid w:val="68AE30C5"/>
    <w:rsid w:val="68BA4C16"/>
    <w:rsid w:val="68C006D4"/>
    <w:rsid w:val="68DD0195"/>
    <w:rsid w:val="68F80B7D"/>
    <w:rsid w:val="69063CCD"/>
    <w:rsid w:val="69107F50"/>
    <w:rsid w:val="6922313D"/>
    <w:rsid w:val="6941584C"/>
    <w:rsid w:val="694B1C98"/>
    <w:rsid w:val="694F2F3C"/>
    <w:rsid w:val="695263D9"/>
    <w:rsid w:val="697A596B"/>
    <w:rsid w:val="69B024A2"/>
    <w:rsid w:val="69D937B9"/>
    <w:rsid w:val="6A3248AB"/>
    <w:rsid w:val="6A3F7157"/>
    <w:rsid w:val="6A69722F"/>
    <w:rsid w:val="6A8868F6"/>
    <w:rsid w:val="6A9A0B2D"/>
    <w:rsid w:val="6AEF0356"/>
    <w:rsid w:val="6B0C1CA8"/>
    <w:rsid w:val="6B210408"/>
    <w:rsid w:val="6B226F5C"/>
    <w:rsid w:val="6B240CC8"/>
    <w:rsid w:val="6B364574"/>
    <w:rsid w:val="6B4300E3"/>
    <w:rsid w:val="6B4B448B"/>
    <w:rsid w:val="6B4D0D73"/>
    <w:rsid w:val="6B6C4B43"/>
    <w:rsid w:val="6B6C5DCF"/>
    <w:rsid w:val="6B792DBC"/>
    <w:rsid w:val="6B8F21EB"/>
    <w:rsid w:val="6BAA2831"/>
    <w:rsid w:val="6BAD0172"/>
    <w:rsid w:val="6BC05243"/>
    <w:rsid w:val="6BC2105C"/>
    <w:rsid w:val="6BCC26FE"/>
    <w:rsid w:val="6BCE02D1"/>
    <w:rsid w:val="6BE16F41"/>
    <w:rsid w:val="6C496D2D"/>
    <w:rsid w:val="6C582E40"/>
    <w:rsid w:val="6C5E0930"/>
    <w:rsid w:val="6C626C45"/>
    <w:rsid w:val="6C895D3F"/>
    <w:rsid w:val="6C997F3B"/>
    <w:rsid w:val="6CB51517"/>
    <w:rsid w:val="6CBB1728"/>
    <w:rsid w:val="6CC256BB"/>
    <w:rsid w:val="6CF41B71"/>
    <w:rsid w:val="6D0204A6"/>
    <w:rsid w:val="6D056FFD"/>
    <w:rsid w:val="6D0F1C2A"/>
    <w:rsid w:val="6D173957"/>
    <w:rsid w:val="6D4757D2"/>
    <w:rsid w:val="6D6A6564"/>
    <w:rsid w:val="6D9738B6"/>
    <w:rsid w:val="6D9B170F"/>
    <w:rsid w:val="6DB96462"/>
    <w:rsid w:val="6DC70D7F"/>
    <w:rsid w:val="6DC87AD4"/>
    <w:rsid w:val="6DD36DC0"/>
    <w:rsid w:val="6DDB5FB0"/>
    <w:rsid w:val="6DF006BA"/>
    <w:rsid w:val="6DF45256"/>
    <w:rsid w:val="6DF73BB2"/>
    <w:rsid w:val="6E0A02E2"/>
    <w:rsid w:val="6E2C1870"/>
    <w:rsid w:val="6E6E7D28"/>
    <w:rsid w:val="6E716A5C"/>
    <w:rsid w:val="6E772B09"/>
    <w:rsid w:val="6E7A1325"/>
    <w:rsid w:val="6E7E632C"/>
    <w:rsid w:val="6EC505B9"/>
    <w:rsid w:val="6F180A6D"/>
    <w:rsid w:val="6F400AF2"/>
    <w:rsid w:val="6F5D0A07"/>
    <w:rsid w:val="6F6222D5"/>
    <w:rsid w:val="6F865AA7"/>
    <w:rsid w:val="6F9E54E7"/>
    <w:rsid w:val="6FD35007"/>
    <w:rsid w:val="6FE52F43"/>
    <w:rsid w:val="6FEA072C"/>
    <w:rsid w:val="6FEF31EE"/>
    <w:rsid w:val="6FFF138A"/>
    <w:rsid w:val="7042644D"/>
    <w:rsid w:val="70673B2B"/>
    <w:rsid w:val="70796867"/>
    <w:rsid w:val="708C7F32"/>
    <w:rsid w:val="708F162B"/>
    <w:rsid w:val="70A53BED"/>
    <w:rsid w:val="70D460E9"/>
    <w:rsid w:val="70FA7F4C"/>
    <w:rsid w:val="710930DF"/>
    <w:rsid w:val="7118679E"/>
    <w:rsid w:val="71295D72"/>
    <w:rsid w:val="712B6A44"/>
    <w:rsid w:val="71336B4F"/>
    <w:rsid w:val="713A2FED"/>
    <w:rsid w:val="714874B8"/>
    <w:rsid w:val="714931CB"/>
    <w:rsid w:val="714D0D63"/>
    <w:rsid w:val="716020ED"/>
    <w:rsid w:val="7166205F"/>
    <w:rsid w:val="71753A0A"/>
    <w:rsid w:val="71792D4B"/>
    <w:rsid w:val="71A668CF"/>
    <w:rsid w:val="71AE06EF"/>
    <w:rsid w:val="71C945D8"/>
    <w:rsid w:val="71DD5124"/>
    <w:rsid w:val="71EA0570"/>
    <w:rsid w:val="71F66C71"/>
    <w:rsid w:val="71F87130"/>
    <w:rsid w:val="71F908D7"/>
    <w:rsid w:val="7228200C"/>
    <w:rsid w:val="723931EE"/>
    <w:rsid w:val="72587BCF"/>
    <w:rsid w:val="725A3FB0"/>
    <w:rsid w:val="726E3383"/>
    <w:rsid w:val="72734BFB"/>
    <w:rsid w:val="72735EA6"/>
    <w:rsid w:val="727C711D"/>
    <w:rsid w:val="7293369D"/>
    <w:rsid w:val="72952BD1"/>
    <w:rsid w:val="72CC0683"/>
    <w:rsid w:val="72CE1C3F"/>
    <w:rsid w:val="72DE3629"/>
    <w:rsid w:val="72F8601E"/>
    <w:rsid w:val="732B52E4"/>
    <w:rsid w:val="733817AF"/>
    <w:rsid w:val="733D74E7"/>
    <w:rsid w:val="7358775D"/>
    <w:rsid w:val="735917FD"/>
    <w:rsid w:val="73602932"/>
    <w:rsid w:val="73702CF6"/>
    <w:rsid w:val="737A3B75"/>
    <w:rsid w:val="73830C7C"/>
    <w:rsid w:val="73974727"/>
    <w:rsid w:val="739A3FDF"/>
    <w:rsid w:val="739A4A96"/>
    <w:rsid w:val="73B52DFF"/>
    <w:rsid w:val="73DB4B30"/>
    <w:rsid w:val="7406374F"/>
    <w:rsid w:val="74092E99"/>
    <w:rsid w:val="740A7AB9"/>
    <w:rsid w:val="741B0EB4"/>
    <w:rsid w:val="74367A9C"/>
    <w:rsid w:val="7450478C"/>
    <w:rsid w:val="7452015B"/>
    <w:rsid w:val="74624F8B"/>
    <w:rsid w:val="74774D75"/>
    <w:rsid w:val="747D5827"/>
    <w:rsid w:val="74820676"/>
    <w:rsid w:val="74861483"/>
    <w:rsid w:val="748C6718"/>
    <w:rsid w:val="749401EE"/>
    <w:rsid w:val="7505626D"/>
    <w:rsid w:val="751D4E5F"/>
    <w:rsid w:val="75211DE3"/>
    <w:rsid w:val="7531347A"/>
    <w:rsid w:val="75326068"/>
    <w:rsid w:val="7544683B"/>
    <w:rsid w:val="754E422D"/>
    <w:rsid w:val="756A1062"/>
    <w:rsid w:val="75D30DA5"/>
    <w:rsid w:val="75D57A43"/>
    <w:rsid w:val="75DF560D"/>
    <w:rsid w:val="75ED313E"/>
    <w:rsid w:val="75F2079C"/>
    <w:rsid w:val="75FD6C16"/>
    <w:rsid w:val="760342F6"/>
    <w:rsid w:val="7624324F"/>
    <w:rsid w:val="76AF5139"/>
    <w:rsid w:val="76E03FFD"/>
    <w:rsid w:val="76ED5AD9"/>
    <w:rsid w:val="77161E07"/>
    <w:rsid w:val="7732522C"/>
    <w:rsid w:val="773708DC"/>
    <w:rsid w:val="77536991"/>
    <w:rsid w:val="775748F9"/>
    <w:rsid w:val="776721AA"/>
    <w:rsid w:val="77731007"/>
    <w:rsid w:val="77737259"/>
    <w:rsid w:val="778130E9"/>
    <w:rsid w:val="77A66FA4"/>
    <w:rsid w:val="77AC715F"/>
    <w:rsid w:val="77C655DB"/>
    <w:rsid w:val="77D05F62"/>
    <w:rsid w:val="77D67B46"/>
    <w:rsid w:val="77E230FE"/>
    <w:rsid w:val="78161684"/>
    <w:rsid w:val="783E26E3"/>
    <w:rsid w:val="7843198A"/>
    <w:rsid w:val="78436AC1"/>
    <w:rsid w:val="7847671C"/>
    <w:rsid w:val="78476810"/>
    <w:rsid w:val="785E2F05"/>
    <w:rsid w:val="787061F4"/>
    <w:rsid w:val="787540FA"/>
    <w:rsid w:val="78A96B01"/>
    <w:rsid w:val="78AD0B5A"/>
    <w:rsid w:val="78B07870"/>
    <w:rsid w:val="78C7160B"/>
    <w:rsid w:val="78C97879"/>
    <w:rsid w:val="78D40B87"/>
    <w:rsid w:val="78D87374"/>
    <w:rsid w:val="78DB6E64"/>
    <w:rsid w:val="79156AA7"/>
    <w:rsid w:val="79164340"/>
    <w:rsid w:val="792A5301"/>
    <w:rsid w:val="793A002E"/>
    <w:rsid w:val="79416420"/>
    <w:rsid w:val="79501600"/>
    <w:rsid w:val="7956493E"/>
    <w:rsid w:val="79790FCF"/>
    <w:rsid w:val="797D4121"/>
    <w:rsid w:val="797E11A6"/>
    <w:rsid w:val="799C4845"/>
    <w:rsid w:val="79A33E26"/>
    <w:rsid w:val="79AE5A88"/>
    <w:rsid w:val="79B50780"/>
    <w:rsid w:val="79FE72AE"/>
    <w:rsid w:val="7A07062C"/>
    <w:rsid w:val="7A1C7585"/>
    <w:rsid w:val="7A1F2F69"/>
    <w:rsid w:val="7A2E43AE"/>
    <w:rsid w:val="7A2E7E37"/>
    <w:rsid w:val="7A427BA1"/>
    <w:rsid w:val="7A471799"/>
    <w:rsid w:val="7A4A4443"/>
    <w:rsid w:val="7A5275FA"/>
    <w:rsid w:val="7A57268E"/>
    <w:rsid w:val="7A687EE1"/>
    <w:rsid w:val="7A6F5AB6"/>
    <w:rsid w:val="7ACC4F5F"/>
    <w:rsid w:val="7ADB0CA1"/>
    <w:rsid w:val="7ADF2040"/>
    <w:rsid w:val="7AEB5683"/>
    <w:rsid w:val="7AF5556B"/>
    <w:rsid w:val="7B1B3C2F"/>
    <w:rsid w:val="7B310FBD"/>
    <w:rsid w:val="7B5D4985"/>
    <w:rsid w:val="7B6707E2"/>
    <w:rsid w:val="7B74267B"/>
    <w:rsid w:val="7B7D7754"/>
    <w:rsid w:val="7B8B7FD7"/>
    <w:rsid w:val="7B9E207A"/>
    <w:rsid w:val="7BA357BB"/>
    <w:rsid w:val="7BAA1EAE"/>
    <w:rsid w:val="7BE97AEA"/>
    <w:rsid w:val="7BFA0295"/>
    <w:rsid w:val="7C41666A"/>
    <w:rsid w:val="7C505D05"/>
    <w:rsid w:val="7C5843B5"/>
    <w:rsid w:val="7C696FDA"/>
    <w:rsid w:val="7C8056BE"/>
    <w:rsid w:val="7C8D2B6B"/>
    <w:rsid w:val="7CD12D75"/>
    <w:rsid w:val="7CEF7382"/>
    <w:rsid w:val="7D017396"/>
    <w:rsid w:val="7D041015"/>
    <w:rsid w:val="7D20753B"/>
    <w:rsid w:val="7D5B0001"/>
    <w:rsid w:val="7D6733BC"/>
    <w:rsid w:val="7D81183E"/>
    <w:rsid w:val="7D813913"/>
    <w:rsid w:val="7D902B14"/>
    <w:rsid w:val="7D9B7734"/>
    <w:rsid w:val="7D9F6F88"/>
    <w:rsid w:val="7DAE04B8"/>
    <w:rsid w:val="7DAF13CC"/>
    <w:rsid w:val="7DBC274F"/>
    <w:rsid w:val="7DDA3B8E"/>
    <w:rsid w:val="7DE40003"/>
    <w:rsid w:val="7DE411D8"/>
    <w:rsid w:val="7DFD2061"/>
    <w:rsid w:val="7E135BDF"/>
    <w:rsid w:val="7E374B3D"/>
    <w:rsid w:val="7EA15A77"/>
    <w:rsid w:val="7EAD0642"/>
    <w:rsid w:val="7EB01C87"/>
    <w:rsid w:val="7EB91A60"/>
    <w:rsid w:val="7ECF2A49"/>
    <w:rsid w:val="7EF01855"/>
    <w:rsid w:val="7EF66C42"/>
    <w:rsid w:val="7F0B26EB"/>
    <w:rsid w:val="7F0C42CC"/>
    <w:rsid w:val="7F2350C1"/>
    <w:rsid w:val="7F334F6A"/>
    <w:rsid w:val="7F496120"/>
    <w:rsid w:val="7F556BCB"/>
    <w:rsid w:val="7F5F3A42"/>
    <w:rsid w:val="7F6227C1"/>
    <w:rsid w:val="7F875A17"/>
    <w:rsid w:val="7F8B6C20"/>
    <w:rsid w:val="7F986425"/>
    <w:rsid w:val="7FAA0986"/>
    <w:rsid w:val="7FB87EFF"/>
    <w:rsid w:val="7FBF303C"/>
    <w:rsid w:val="7FC12D31"/>
    <w:rsid w:val="7FC87885"/>
    <w:rsid w:val="7FDA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sdException w:qFormat="1" w:unhideWhenUsed="0" w:uiPriority="99"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Book Antiqua" w:hAnsi="Book Antiqua" w:eastAsia="宋体" w:cs="Times New Roman"/>
      <w:kern w:val="2"/>
      <w:sz w:val="21"/>
      <w:szCs w:val="24"/>
      <w:lang w:val="en-US" w:eastAsia="zh-CN" w:bidi="ar-SA"/>
    </w:rPr>
  </w:style>
  <w:style w:type="paragraph" w:styleId="3">
    <w:name w:val="heading 1"/>
    <w:basedOn w:val="1"/>
    <w:next w:val="1"/>
    <w:link w:val="49"/>
    <w:autoRedefine/>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locked/>
    <w:uiPriority w:val="9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50"/>
    <w:autoRedefine/>
    <w:qFormat/>
    <w:uiPriority w:val="99"/>
    <w:pPr>
      <w:keepNext/>
      <w:keepLines/>
      <w:spacing w:line="360" w:lineRule="auto"/>
      <w:outlineLvl w:val="2"/>
    </w:pPr>
    <w:rPr>
      <w:b/>
      <w:bCs/>
      <w:kern w:val="0"/>
      <w:sz w:val="32"/>
      <w:szCs w:val="32"/>
    </w:rPr>
  </w:style>
  <w:style w:type="paragraph" w:styleId="6">
    <w:name w:val="heading 4"/>
    <w:basedOn w:val="1"/>
    <w:next w:val="1"/>
    <w:link w:val="51"/>
    <w:autoRedefine/>
    <w:qFormat/>
    <w:locked/>
    <w:uiPriority w:val="99"/>
    <w:pPr>
      <w:keepNext/>
      <w:keepLines/>
      <w:spacing w:before="280" w:after="290" w:line="376" w:lineRule="auto"/>
      <w:outlineLvl w:val="3"/>
    </w:pPr>
    <w:rPr>
      <w:rFonts w:ascii="Cambria" w:hAnsi="Cambria"/>
      <w:b/>
      <w:bCs/>
      <w:sz w:val="28"/>
      <w:szCs w:val="28"/>
    </w:rPr>
  </w:style>
  <w:style w:type="paragraph" w:styleId="7">
    <w:name w:val="heading 6"/>
    <w:basedOn w:val="1"/>
    <w:next w:val="1"/>
    <w:autoRedefine/>
    <w:qFormat/>
    <w:locked/>
    <w:uiPriority w:val="0"/>
    <w:pPr>
      <w:keepNext/>
      <w:keepLines/>
      <w:widowControl/>
      <w:kinsoku w:val="0"/>
      <w:autoSpaceDE w:val="0"/>
      <w:autoSpaceDN w:val="0"/>
      <w:adjustRightInd w:val="0"/>
      <w:snapToGrid w:val="0"/>
      <w:spacing w:before="240" w:after="64" w:line="317" w:lineRule="auto"/>
      <w:jc w:val="left"/>
      <w:textAlignment w:val="baseline"/>
      <w:outlineLvl w:val="5"/>
    </w:pPr>
    <w:rPr>
      <w:rFonts w:ascii="Arial" w:hAnsi="Arial" w:eastAsia="黑体"/>
      <w:b/>
      <w:snapToGrid w:val="0"/>
      <w:color w:val="000000"/>
      <w:kern w:val="0"/>
      <w:sz w:val="24"/>
      <w:szCs w:val="21"/>
      <w:lang w:eastAsia="en-U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qFormat/>
    <w:uiPriority w:val="0"/>
    <w:pPr>
      <w:widowControl w:val="0"/>
      <w:spacing w:after="120" w:line="360" w:lineRule="auto"/>
      <w:ind w:left="420" w:leftChars="200" w:firstLine="420" w:firstLineChars="200"/>
      <w:jc w:val="both"/>
    </w:pPr>
    <w:rPr>
      <w:rFonts w:ascii="Times New Roman" w:hAnsi="@仿宋_GB2312" w:eastAsia="Times New Roman" w:cs="@仿宋_GB2312"/>
      <w:kern w:val="2"/>
      <w:sz w:val="21"/>
      <w:szCs w:val="22"/>
      <w:lang w:val="en-US" w:eastAsia="zh-CN" w:bidi="ar-SA"/>
    </w:rPr>
  </w:style>
  <w:style w:type="paragraph" w:styleId="8">
    <w:name w:val="toc 7"/>
    <w:basedOn w:val="1"/>
    <w:next w:val="1"/>
    <w:autoRedefine/>
    <w:qFormat/>
    <w:locked/>
    <w:uiPriority w:val="0"/>
    <w:pPr>
      <w:spacing w:line="440" w:lineRule="atLeast"/>
      <w:ind w:left="2520" w:leftChars="1200" w:firstLine="200" w:firstLineChars="200"/>
    </w:pPr>
    <w:rPr>
      <w:rFonts w:ascii="Times New Roman" w:hAnsi="Times New Roman"/>
    </w:rPr>
  </w:style>
  <w:style w:type="paragraph" w:styleId="9">
    <w:name w:val="Normal Indent"/>
    <w:basedOn w:val="1"/>
    <w:autoRedefine/>
    <w:qFormat/>
    <w:uiPriority w:val="0"/>
    <w:pPr>
      <w:adjustRightInd w:val="0"/>
      <w:spacing w:line="360" w:lineRule="atLeast"/>
      <w:ind w:firstLine="420" w:firstLineChars="200"/>
      <w:jc w:val="left"/>
      <w:textAlignment w:val="baseline"/>
    </w:pPr>
    <w:rPr>
      <w:kern w:val="0"/>
      <w:sz w:val="24"/>
      <w:szCs w:val="20"/>
    </w:rPr>
  </w:style>
  <w:style w:type="paragraph" w:styleId="10">
    <w:name w:val="annotation text"/>
    <w:basedOn w:val="1"/>
    <w:autoRedefine/>
    <w:semiHidden/>
    <w:qFormat/>
    <w:uiPriority w:val="0"/>
    <w:pPr>
      <w:jc w:val="left"/>
    </w:pPr>
  </w:style>
  <w:style w:type="paragraph" w:styleId="11">
    <w:name w:val="Body Text 3"/>
    <w:basedOn w:val="1"/>
    <w:unhideWhenUsed/>
    <w:qFormat/>
    <w:uiPriority w:val="0"/>
    <w:pPr>
      <w:spacing w:after="120"/>
    </w:pPr>
    <w:rPr>
      <w:rFonts w:ascii="Times New Roman" w:hAnsi="Times New Roman"/>
      <w:sz w:val="16"/>
      <w:szCs w:val="16"/>
    </w:rPr>
  </w:style>
  <w:style w:type="paragraph" w:styleId="12">
    <w:name w:val="Body Text"/>
    <w:basedOn w:val="1"/>
    <w:autoRedefine/>
    <w:qFormat/>
    <w:uiPriority w:val="0"/>
    <w:pPr>
      <w:spacing w:after="120" w:line="440" w:lineRule="atLeast"/>
      <w:ind w:firstLine="200" w:firstLineChars="200"/>
    </w:pPr>
    <w:rPr>
      <w:rFonts w:ascii="Times New Roman" w:hAnsi="Times New Roman"/>
    </w:rPr>
  </w:style>
  <w:style w:type="paragraph" w:styleId="13">
    <w:name w:val="Body Text Indent"/>
    <w:basedOn w:val="1"/>
    <w:next w:val="14"/>
    <w:link w:val="53"/>
    <w:autoRedefine/>
    <w:unhideWhenUsed/>
    <w:qFormat/>
    <w:uiPriority w:val="99"/>
    <w:pPr>
      <w:spacing w:after="120"/>
      <w:ind w:left="420" w:leftChars="200"/>
    </w:pPr>
  </w:style>
  <w:style w:type="paragraph" w:styleId="14">
    <w:name w:val="envelope return"/>
    <w:basedOn w:val="1"/>
    <w:autoRedefine/>
    <w:qFormat/>
    <w:uiPriority w:val="99"/>
    <w:pPr>
      <w:snapToGrid w:val="0"/>
    </w:pPr>
    <w:rPr>
      <w:rFonts w:ascii="Arial" w:hAnsi="Arial" w:cs="Arial"/>
    </w:rPr>
  </w:style>
  <w:style w:type="paragraph" w:styleId="15">
    <w:name w:val="toc 3"/>
    <w:basedOn w:val="1"/>
    <w:next w:val="1"/>
    <w:autoRedefine/>
    <w:qFormat/>
    <w:locked/>
    <w:uiPriority w:val="39"/>
    <w:pPr>
      <w:ind w:left="840" w:leftChars="400"/>
    </w:pPr>
  </w:style>
  <w:style w:type="paragraph" w:styleId="16">
    <w:name w:val="Plain Text"/>
    <w:basedOn w:val="1"/>
    <w:link w:val="54"/>
    <w:autoRedefine/>
    <w:qFormat/>
    <w:uiPriority w:val="99"/>
    <w:rPr>
      <w:rFonts w:ascii="宋体" w:hAnsi="Courier New"/>
      <w:szCs w:val="21"/>
    </w:rPr>
  </w:style>
  <w:style w:type="paragraph" w:styleId="17">
    <w:name w:val="Body Text Indent 2"/>
    <w:basedOn w:val="1"/>
    <w:autoRedefine/>
    <w:qFormat/>
    <w:uiPriority w:val="0"/>
    <w:pPr>
      <w:adjustRightInd w:val="0"/>
      <w:snapToGrid w:val="0"/>
      <w:spacing w:line="420" w:lineRule="auto"/>
      <w:ind w:firstLine="577"/>
      <w:textAlignment w:val="baseline"/>
    </w:pPr>
    <w:rPr>
      <w:spacing w:val="4"/>
      <w:kern w:val="0"/>
      <w:sz w:val="28"/>
      <w:szCs w:val="20"/>
    </w:rPr>
  </w:style>
  <w:style w:type="paragraph" w:styleId="18">
    <w:name w:val="Balloon Text"/>
    <w:basedOn w:val="1"/>
    <w:link w:val="55"/>
    <w:autoRedefine/>
    <w:unhideWhenUsed/>
    <w:qFormat/>
    <w:uiPriority w:val="99"/>
    <w:rPr>
      <w:sz w:val="18"/>
      <w:szCs w:val="18"/>
    </w:rPr>
  </w:style>
  <w:style w:type="paragraph" w:styleId="19">
    <w:name w:val="footer"/>
    <w:basedOn w:val="1"/>
    <w:link w:val="56"/>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20">
    <w:name w:val="header"/>
    <w:basedOn w:val="1"/>
    <w:link w:val="5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1">
    <w:name w:val="toc 1"/>
    <w:basedOn w:val="1"/>
    <w:next w:val="1"/>
    <w:autoRedefine/>
    <w:qFormat/>
    <w:uiPriority w:val="39"/>
  </w:style>
  <w:style w:type="paragraph" w:styleId="22">
    <w:name w:val="toc 2"/>
    <w:basedOn w:val="1"/>
    <w:next w:val="1"/>
    <w:autoRedefine/>
    <w:qFormat/>
    <w:locked/>
    <w:uiPriority w:val="39"/>
    <w:pPr>
      <w:ind w:left="420" w:leftChars="200"/>
    </w:pPr>
  </w:style>
  <w:style w:type="paragraph" w:styleId="23">
    <w:name w:val="Body Text 2"/>
    <w:basedOn w:val="1"/>
    <w:next w:val="12"/>
    <w:link w:val="52"/>
    <w:autoRedefine/>
    <w:qFormat/>
    <w:uiPriority w:val="99"/>
    <w:pPr>
      <w:spacing w:after="120" w:line="480" w:lineRule="auto"/>
    </w:pPr>
    <w:rPr>
      <w:rFonts w:ascii="Times New Roman" w:hAnsi="Times New Roman"/>
      <w:kern w:val="0"/>
      <w:sz w:val="24"/>
    </w:r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next w:val="1"/>
    <w:autoRedefine/>
    <w:qFormat/>
    <w:locked/>
    <w:uiPriority w:val="0"/>
    <w:pPr>
      <w:spacing w:before="240" w:after="60"/>
      <w:jc w:val="center"/>
      <w:outlineLvl w:val="0"/>
    </w:pPr>
    <w:rPr>
      <w:rFonts w:ascii="Arial" w:hAnsi="Arial" w:cs="Arial"/>
      <w:b/>
      <w:bCs/>
      <w:sz w:val="32"/>
      <w:szCs w:val="32"/>
    </w:rPr>
  </w:style>
  <w:style w:type="paragraph" w:styleId="26">
    <w:name w:val="annotation subject"/>
    <w:basedOn w:val="10"/>
    <w:next w:val="1"/>
    <w:autoRedefine/>
    <w:qFormat/>
    <w:uiPriority w:val="0"/>
    <w:rPr>
      <w:b/>
      <w:bCs/>
    </w:rPr>
  </w:style>
  <w:style w:type="paragraph" w:styleId="27">
    <w:name w:val="Body Text First Indent"/>
    <w:basedOn w:val="12"/>
    <w:autoRedefine/>
    <w:qFormat/>
    <w:uiPriority w:val="0"/>
    <w:pPr>
      <w:ind w:firstLine="420" w:firstLineChars="100"/>
    </w:pPr>
  </w:style>
  <w:style w:type="paragraph" w:styleId="28">
    <w:name w:val="Body Text First Indent 2"/>
    <w:basedOn w:val="13"/>
    <w:next w:val="1"/>
    <w:autoRedefine/>
    <w:qFormat/>
    <w:uiPriority w:val="0"/>
    <w:pPr>
      <w:ind w:firstLine="420" w:firstLineChars="200"/>
    </w:pPr>
  </w:style>
  <w:style w:type="table" w:styleId="30">
    <w:name w:val="Table Grid"/>
    <w:basedOn w:val="29"/>
    <w:autoRedefine/>
    <w:qFormat/>
    <w:locke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autoRedefine/>
    <w:qFormat/>
    <w:locked/>
    <w:uiPriority w:val="0"/>
  </w:style>
  <w:style w:type="character" w:styleId="33">
    <w:name w:val="FollowedHyperlink"/>
    <w:autoRedefine/>
    <w:unhideWhenUsed/>
    <w:qFormat/>
    <w:uiPriority w:val="99"/>
    <w:rPr>
      <w:color w:val="333333"/>
      <w:u w:val="none"/>
    </w:rPr>
  </w:style>
  <w:style w:type="character" w:styleId="34">
    <w:name w:val="Emphasis"/>
    <w:basedOn w:val="31"/>
    <w:autoRedefine/>
    <w:qFormat/>
    <w:locked/>
    <w:uiPriority w:val="0"/>
  </w:style>
  <w:style w:type="character" w:styleId="35">
    <w:name w:val="HTML Definition"/>
    <w:basedOn w:val="31"/>
    <w:autoRedefine/>
    <w:unhideWhenUsed/>
    <w:qFormat/>
    <w:uiPriority w:val="99"/>
  </w:style>
  <w:style w:type="character" w:styleId="36">
    <w:name w:val="HTML Typewriter"/>
    <w:autoRedefine/>
    <w:unhideWhenUsed/>
    <w:qFormat/>
    <w:uiPriority w:val="99"/>
    <w:rPr>
      <w:rFonts w:hint="default" w:ascii="monospace" w:hAnsi="monospace" w:eastAsia="monospace" w:cs="monospace"/>
      <w:sz w:val="20"/>
    </w:rPr>
  </w:style>
  <w:style w:type="character" w:styleId="37">
    <w:name w:val="HTML Acronym"/>
    <w:basedOn w:val="31"/>
    <w:autoRedefine/>
    <w:unhideWhenUsed/>
    <w:qFormat/>
    <w:uiPriority w:val="99"/>
  </w:style>
  <w:style w:type="character" w:styleId="38">
    <w:name w:val="HTML Variable"/>
    <w:basedOn w:val="31"/>
    <w:autoRedefine/>
    <w:unhideWhenUsed/>
    <w:qFormat/>
    <w:uiPriority w:val="99"/>
  </w:style>
  <w:style w:type="character" w:styleId="39">
    <w:name w:val="Hyperlink"/>
    <w:autoRedefine/>
    <w:qFormat/>
    <w:uiPriority w:val="99"/>
    <w:rPr>
      <w:rFonts w:cs="Times New Roman"/>
      <w:color w:val="0000FF"/>
      <w:u w:val="single"/>
    </w:rPr>
  </w:style>
  <w:style w:type="character" w:styleId="40">
    <w:name w:val="HTML Code"/>
    <w:autoRedefine/>
    <w:unhideWhenUsed/>
    <w:qFormat/>
    <w:uiPriority w:val="99"/>
    <w:rPr>
      <w:rFonts w:hint="default" w:ascii="monospace" w:hAnsi="monospace" w:eastAsia="monospace" w:cs="monospace"/>
      <w:sz w:val="20"/>
    </w:rPr>
  </w:style>
  <w:style w:type="character" w:styleId="41">
    <w:name w:val="annotation reference"/>
    <w:basedOn w:val="31"/>
    <w:autoRedefine/>
    <w:semiHidden/>
    <w:unhideWhenUsed/>
    <w:qFormat/>
    <w:uiPriority w:val="99"/>
    <w:rPr>
      <w:sz w:val="21"/>
      <w:szCs w:val="21"/>
    </w:rPr>
  </w:style>
  <w:style w:type="character" w:styleId="42">
    <w:name w:val="HTML Cite"/>
    <w:basedOn w:val="31"/>
    <w:autoRedefine/>
    <w:unhideWhenUsed/>
    <w:qFormat/>
    <w:uiPriority w:val="99"/>
  </w:style>
  <w:style w:type="character" w:styleId="43">
    <w:name w:val="HTML Keyboard"/>
    <w:autoRedefine/>
    <w:unhideWhenUsed/>
    <w:qFormat/>
    <w:uiPriority w:val="99"/>
    <w:rPr>
      <w:rFonts w:ascii="monospace" w:hAnsi="monospace" w:eastAsia="monospace" w:cs="monospace"/>
      <w:sz w:val="20"/>
    </w:rPr>
  </w:style>
  <w:style w:type="character" w:styleId="44">
    <w:name w:val="HTML Sample"/>
    <w:autoRedefine/>
    <w:unhideWhenUsed/>
    <w:qFormat/>
    <w:uiPriority w:val="99"/>
    <w:rPr>
      <w:rFonts w:hint="default" w:ascii="monospace" w:hAnsi="monospace" w:eastAsia="monospace" w:cs="monospace"/>
    </w:rPr>
  </w:style>
  <w:style w:type="paragraph" w:customStyle="1" w:styleId="45">
    <w:name w:val="列出段落1"/>
    <w:basedOn w:val="1"/>
    <w:autoRedefine/>
    <w:qFormat/>
    <w:uiPriority w:val="34"/>
    <w:rPr>
      <w:rFonts w:ascii="宋体" w:hAnsi="宋体"/>
      <w:color w:val="0070C0"/>
      <w:szCs w:val="21"/>
    </w:rPr>
  </w:style>
  <w:style w:type="paragraph" w:customStyle="1" w:styleId="46">
    <w:name w:val="正文文本 21"/>
    <w:basedOn w:val="1"/>
    <w:autoRedefine/>
    <w:qFormat/>
    <w:uiPriority w:val="0"/>
    <w:pPr>
      <w:spacing w:after="120" w:line="480" w:lineRule="auto"/>
    </w:pPr>
  </w:style>
  <w:style w:type="paragraph" w:customStyle="1" w:styleId="47">
    <w:name w:val="表格文字"/>
    <w:basedOn w:val="1"/>
    <w:next w:val="12"/>
    <w:autoRedefine/>
    <w:qFormat/>
    <w:uiPriority w:val="0"/>
    <w:pPr>
      <w:framePr w:hSpace="180" w:wrap="around" w:vAnchor="text" w:hAnchor="page" w:xAlign="center" w:y="25"/>
      <w:suppressOverlap/>
      <w:spacing w:line="420" w:lineRule="atLeast"/>
    </w:pPr>
    <w:rPr>
      <w:sz w:val="18"/>
      <w:szCs w:val="18"/>
    </w:rPr>
  </w:style>
  <w:style w:type="paragraph" w:customStyle="1" w:styleId="48">
    <w:name w:val="无间隔1"/>
    <w:basedOn w:val="1"/>
    <w:autoRedefine/>
    <w:qFormat/>
    <w:uiPriority w:val="0"/>
    <w:pPr>
      <w:spacing w:line="400" w:lineRule="exact"/>
    </w:pPr>
    <w:rPr>
      <w:sz w:val="24"/>
    </w:rPr>
  </w:style>
  <w:style w:type="character" w:customStyle="1" w:styleId="49">
    <w:name w:val="标题 1 字符"/>
    <w:link w:val="3"/>
    <w:autoRedefine/>
    <w:qFormat/>
    <w:uiPriority w:val="0"/>
    <w:rPr>
      <w:rFonts w:ascii="Book Antiqua" w:hAnsi="Book Antiqua"/>
      <w:b/>
      <w:bCs/>
      <w:kern w:val="44"/>
      <w:sz w:val="44"/>
      <w:szCs w:val="44"/>
    </w:rPr>
  </w:style>
  <w:style w:type="character" w:customStyle="1" w:styleId="50">
    <w:name w:val="标题 3 字符"/>
    <w:link w:val="5"/>
    <w:autoRedefine/>
    <w:qFormat/>
    <w:locked/>
    <w:uiPriority w:val="99"/>
    <w:rPr>
      <w:rFonts w:ascii="Book Antiqua" w:hAnsi="Book Antiqua" w:eastAsia="宋体" w:cs="Times New Roman"/>
      <w:b/>
      <w:bCs/>
      <w:sz w:val="32"/>
      <w:szCs w:val="32"/>
    </w:rPr>
  </w:style>
  <w:style w:type="character" w:customStyle="1" w:styleId="51">
    <w:name w:val="标题 4 字符"/>
    <w:link w:val="6"/>
    <w:autoRedefine/>
    <w:semiHidden/>
    <w:qFormat/>
    <w:locked/>
    <w:uiPriority w:val="99"/>
    <w:rPr>
      <w:rFonts w:ascii="Cambria" w:hAnsi="Cambria" w:eastAsia="宋体" w:cs="Times New Roman"/>
      <w:b/>
      <w:bCs/>
      <w:kern w:val="2"/>
      <w:sz w:val="28"/>
      <w:szCs w:val="28"/>
    </w:rPr>
  </w:style>
  <w:style w:type="character" w:customStyle="1" w:styleId="52">
    <w:name w:val="正文文本 2 字符"/>
    <w:link w:val="23"/>
    <w:autoRedefine/>
    <w:qFormat/>
    <w:locked/>
    <w:uiPriority w:val="99"/>
    <w:rPr>
      <w:rFonts w:ascii="Times New Roman" w:hAnsi="Times New Roman" w:eastAsia="宋体" w:cs="Times New Roman"/>
      <w:sz w:val="24"/>
      <w:szCs w:val="24"/>
    </w:rPr>
  </w:style>
  <w:style w:type="character" w:customStyle="1" w:styleId="53">
    <w:name w:val="正文文本缩进 字符"/>
    <w:link w:val="13"/>
    <w:autoRedefine/>
    <w:semiHidden/>
    <w:qFormat/>
    <w:uiPriority w:val="99"/>
    <w:rPr>
      <w:rFonts w:ascii="Book Antiqua" w:hAnsi="Book Antiqua"/>
      <w:kern w:val="2"/>
      <w:sz w:val="21"/>
      <w:szCs w:val="24"/>
    </w:rPr>
  </w:style>
  <w:style w:type="character" w:customStyle="1" w:styleId="54">
    <w:name w:val="纯文本 字符"/>
    <w:link w:val="16"/>
    <w:autoRedefine/>
    <w:semiHidden/>
    <w:qFormat/>
    <w:uiPriority w:val="99"/>
    <w:rPr>
      <w:rFonts w:ascii="宋体" w:hAnsi="Courier New" w:cs="Courier New"/>
      <w:kern w:val="2"/>
      <w:sz w:val="21"/>
      <w:szCs w:val="21"/>
    </w:rPr>
  </w:style>
  <w:style w:type="character" w:customStyle="1" w:styleId="55">
    <w:name w:val="批注框文本 字符"/>
    <w:link w:val="18"/>
    <w:autoRedefine/>
    <w:semiHidden/>
    <w:qFormat/>
    <w:uiPriority w:val="99"/>
    <w:rPr>
      <w:rFonts w:ascii="Book Antiqua" w:hAnsi="Book Antiqua"/>
      <w:kern w:val="2"/>
      <w:sz w:val="18"/>
      <w:szCs w:val="18"/>
    </w:rPr>
  </w:style>
  <w:style w:type="character" w:customStyle="1" w:styleId="56">
    <w:name w:val="页脚 字符"/>
    <w:link w:val="19"/>
    <w:autoRedefine/>
    <w:qFormat/>
    <w:locked/>
    <w:uiPriority w:val="99"/>
    <w:rPr>
      <w:rFonts w:cs="Times New Roman"/>
      <w:sz w:val="18"/>
      <w:szCs w:val="18"/>
    </w:rPr>
  </w:style>
  <w:style w:type="character" w:customStyle="1" w:styleId="57">
    <w:name w:val="页眉 字符"/>
    <w:link w:val="20"/>
    <w:autoRedefine/>
    <w:semiHidden/>
    <w:qFormat/>
    <w:locked/>
    <w:uiPriority w:val="99"/>
    <w:rPr>
      <w:rFonts w:cs="Times New Roman"/>
      <w:sz w:val="18"/>
      <w:szCs w:val="18"/>
    </w:rPr>
  </w:style>
  <w:style w:type="paragraph" w:customStyle="1" w:styleId="58">
    <w:name w:val="style4"/>
    <w:basedOn w:val="59"/>
    <w:next w:val="60"/>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正文_0"/>
    <w:next w:val="2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2">
    <w:name w:val="p0 Char Char"/>
    <w:link w:val="63"/>
    <w:autoRedefine/>
    <w:qFormat/>
    <w:locked/>
    <w:uiPriority w:val="99"/>
    <w:rPr>
      <w:rFonts w:ascii="Times New Roman" w:hAnsi="Times New Roman" w:cs="Times New Roman"/>
      <w:kern w:val="0"/>
      <w:sz w:val="21"/>
      <w:szCs w:val="21"/>
    </w:rPr>
  </w:style>
  <w:style w:type="paragraph" w:customStyle="1" w:styleId="63">
    <w:name w:val="p0"/>
    <w:basedOn w:val="1"/>
    <w:link w:val="62"/>
    <w:autoRedefine/>
    <w:qFormat/>
    <w:uiPriority w:val="99"/>
    <w:pPr>
      <w:widowControl/>
    </w:pPr>
    <w:rPr>
      <w:rFonts w:ascii="Times New Roman" w:hAnsi="Times New Roman"/>
      <w:kern w:val="0"/>
      <w:szCs w:val="21"/>
    </w:rPr>
  </w:style>
  <w:style w:type="character" w:customStyle="1" w:styleId="64">
    <w:name w:val="font81"/>
    <w:autoRedefine/>
    <w:qFormat/>
    <w:uiPriority w:val="0"/>
    <w:rPr>
      <w:rFonts w:hint="eastAsia" w:ascii="宋体" w:hAnsi="宋体" w:eastAsia="宋体" w:cs="宋体"/>
      <w:color w:val="000000"/>
      <w:sz w:val="24"/>
      <w:szCs w:val="24"/>
      <w:u w:val="none"/>
    </w:rPr>
  </w:style>
  <w:style w:type="character" w:customStyle="1" w:styleId="65">
    <w:name w:val="font31"/>
    <w:autoRedefine/>
    <w:qFormat/>
    <w:uiPriority w:val="0"/>
    <w:rPr>
      <w:rFonts w:hint="eastAsia" w:ascii="宋体" w:hAnsi="宋体" w:eastAsia="宋体" w:cs="宋体"/>
      <w:color w:val="000000"/>
      <w:sz w:val="24"/>
      <w:szCs w:val="24"/>
      <w:u w:val="none"/>
    </w:rPr>
  </w:style>
  <w:style w:type="character" w:customStyle="1" w:styleId="66">
    <w:name w:val="font51"/>
    <w:autoRedefine/>
    <w:qFormat/>
    <w:uiPriority w:val="0"/>
    <w:rPr>
      <w:rFonts w:ascii="Calibri" w:hAnsi="Calibri" w:cs="Calibri"/>
      <w:color w:val="000000"/>
      <w:sz w:val="24"/>
      <w:szCs w:val="24"/>
      <w:u w:val="none"/>
    </w:rPr>
  </w:style>
  <w:style w:type="character" w:customStyle="1" w:styleId="67">
    <w:name w:val="纯文本 Char"/>
    <w:autoRedefine/>
    <w:qFormat/>
    <w:uiPriority w:val="0"/>
    <w:rPr>
      <w:rFonts w:ascii="宋体" w:hAnsi="Courier New"/>
      <w:kern w:val="2"/>
      <w:sz w:val="21"/>
    </w:rPr>
  </w:style>
  <w:style w:type="paragraph" w:customStyle="1" w:styleId="68">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_Style 60"/>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0">
    <w:name w:val="文档正文"/>
    <w:basedOn w:val="1"/>
    <w:autoRedefine/>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71">
    <w:name w:val="列表段落1"/>
    <w:basedOn w:val="1"/>
    <w:autoRedefine/>
    <w:qFormat/>
    <w:uiPriority w:val="99"/>
    <w:pPr>
      <w:ind w:firstLine="420" w:firstLineChars="200"/>
    </w:pPr>
    <w:rPr>
      <w:rFonts w:ascii="Times New Roman" w:hAnsi="Times New Roman"/>
    </w:rPr>
  </w:style>
  <w:style w:type="paragraph" w:customStyle="1" w:styleId="72">
    <w:name w:val="style1"/>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73">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74">
    <w:name w:val="Body Text First Indent1"/>
    <w:basedOn w:val="12"/>
    <w:autoRedefine/>
    <w:qFormat/>
    <w:uiPriority w:val="0"/>
    <w:pPr>
      <w:ind w:firstLine="420" w:firstLineChars="100"/>
    </w:pPr>
    <w:rPr>
      <w:rFonts w:ascii="Calibri" w:hAnsi="Calibri"/>
    </w:rPr>
  </w:style>
  <w:style w:type="paragraph" w:customStyle="1" w:styleId="75">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 w:type="character" w:customStyle="1" w:styleId="76">
    <w:name w:val="font41"/>
    <w:basedOn w:val="31"/>
    <w:autoRedefine/>
    <w:qFormat/>
    <w:uiPriority w:val="0"/>
    <w:rPr>
      <w:rFonts w:hint="eastAsia" w:ascii="宋体" w:hAnsi="宋体" w:eastAsia="宋体" w:cs="宋体"/>
      <w:color w:val="000000"/>
      <w:sz w:val="20"/>
      <w:szCs w:val="20"/>
      <w:u w:val="none"/>
    </w:rPr>
  </w:style>
  <w:style w:type="character" w:customStyle="1" w:styleId="77">
    <w:name w:val="font151"/>
    <w:basedOn w:val="31"/>
    <w:autoRedefine/>
    <w:qFormat/>
    <w:uiPriority w:val="0"/>
    <w:rPr>
      <w:rFonts w:hint="eastAsia" w:ascii="宋体" w:hAnsi="宋体" w:eastAsia="宋体" w:cs="宋体"/>
      <w:color w:val="000000"/>
      <w:sz w:val="20"/>
      <w:szCs w:val="20"/>
      <w:u w:val="none"/>
      <w:vertAlign w:val="superscript"/>
    </w:rPr>
  </w:style>
  <w:style w:type="character" w:customStyle="1" w:styleId="78">
    <w:name w:val="font161"/>
    <w:basedOn w:val="31"/>
    <w:autoRedefine/>
    <w:qFormat/>
    <w:uiPriority w:val="0"/>
    <w:rPr>
      <w:rFonts w:hint="eastAsia" w:ascii="宋体" w:hAnsi="宋体" w:eastAsia="宋体" w:cs="宋体"/>
      <w:color w:val="000000"/>
      <w:sz w:val="28"/>
      <w:szCs w:val="28"/>
      <w:u w:val="none"/>
      <w:vertAlign w:val="superscript"/>
    </w:rPr>
  </w:style>
  <w:style w:type="character" w:customStyle="1" w:styleId="79">
    <w:name w:val="font171"/>
    <w:basedOn w:val="31"/>
    <w:autoRedefine/>
    <w:qFormat/>
    <w:uiPriority w:val="0"/>
    <w:rPr>
      <w:rFonts w:hint="eastAsia" w:ascii="宋体" w:hAnsi="宋体" w:eastAsia="宋体" w:cs="宋体"/>
      <w:color w:val="000000"/>
      <w:sz w:val="20"/>
      <w:szCs w:val="20"/>
      <w:u w:val="none"/>
      <w:vertAlign w:val="superscript"/>
    </w:rPr>
  </w:style>
  <w:style w:type="paragraph" w:customStyle="1" w:styleId="80">
    <w:name w:val="BodyText"/>
    <w:basedOn w:val="1"/>
    <w:next w:val="81"/>
    <w:autoRedefine/>
    <w:qFormat/>
    <w:uiPriority w:val="0"/>
    <w:pPr>
      <w:spacing w:after="120" w:line="440" w:lineRule="atLeast"/>
      <w:ind w:firstLine="200" w:firstLineChars="200"/>
      <w:textAlignment w:val="baseline"/>
    </w:pPr>
    <w:rPr>
      <w:rFonts w:ascii="Times New Roman" w:hAnsi="Times New Roman"/>
    </w:rPr>
  </w:style>
  <w:style w:type="paragraph" w:customStyle="1" w:styleId="81">
    <w:name w:val="BodyText2"/>
    <w:basedOn w:val="1"/>
    <w:next w:val="80"/>
    <w:autoRedefine/>
    <w:qFormat/>
    <w:uiPriority w:val="0"/>
    <w:pPr>
      <w:spacing w:after="120" w:line="480" w:lineRule="auto"/>
      <w:textAlignment w:val="baseline"/>
    </w:pPr>
    <w:rPr>
      <w:rFonts w:ascii="Times New Roman" w:hAnsi="Times New Roman"/>
      <w:kern w:val="0"/>
      <w:sz w:val="24"/>
    </w:rPr>
  </w:style>
  <w:style w:type="character" w:customStyle="1" w:styleId="82">
    <w:name w:val="hover16"/>
    <w:basedOn w:val="31"/>
    <w:autoRedefine/>
    <w:qFormat/>
    <w:uiPriority w:val="0"/>
  </w:style>
  <w:style w:type="paragraph" w:customStyle="1" w:styleId="83">
    <w:name w:val="样式1"/>
    <w:basedOn w:val="1"/>
    <w:autoRedefine/>
    <w:qFormat/>
    <w:uiPriority w:val="0"/>
    <w:pPr>
      <w:tabs>
        <w:tab w:val="left" w:pos="709"/>
      </w:tabs>
      <w:ind w:left="709" w:hanging="709"/>
    </w:pPr>
    <w:rPr>
      <w:rFonts w:ascii="宋体" w:hAnsi="宋体"/>
    </w:rPr>
  </w:style>
  <w:style w:type="character" w:customStyle="1" w:styleId="84">
    <w:name w:val="font21"/>
    <w:autoRedefine/>
    <w:qFormat/>
    <w:uiPriority w:val="0"/>
    <w:rPr>
      <w:rFonts w:ascii="Calibri" w:hAnsi="Calibri" w:cs="Calibri"/>
      <w:color w:val="000000"/>
      <w:sz w:val="16"/>
      <w:szCs w:val="16"/>
      <w:u w:val="none"/>
    </w:rPr>
  </w:style>
  <w:style w:type="character" w:customStyle="1" w:styleId="85">
    <w:name w:val="font11"/>
    <w:autoRedefine/>
    <w:qFormat/>
    <w:uiPriority w:val="0"/>
    <w:rPr>
      <w:rFonts w:hint="eastAsia" w:ascii="宋体" w:hAnsi="宋体" w:eastAsia="宋体" w:cs="宋体"/>
      <w:color w:val="000000"/>
      <w:sz w:val="16"/>
      <w:szCs w:val="16"/>
      <w:u w:val="none"/>
    </w:rPr>
  </w:style>
  <w:style w:type="paragraph" w:customStyle="1" w:styleId="86">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rPr>
  </w:style>
  <w:style w:type="character" w:customStyle="1" w:styleId="87">
    <w:name w:val="NormalCharacter"/>
    <w:autoRedefine/>
    <w:semiHidden/>
    <w:qFormat/>
    <w:uiPriority w:val="0"/>
    <w:rPr>
      <w:rFonts w:ascii="宋体" w:hAnsi="宋体" w:cs="宋体"/>
      <w:sz w:val="22"/>
      <w:szCs w:val="22"/>
      <w:lang w:val="zh-CN" w:eastAsia="zh-CN" w:bidi="zh-CN"/>
    </w:rPr>
  </w:style>
  <w:style w:type="paragraph" w:customStyle="1" w:styleId="88">
    <w:name w:val="Table Paragraph"/>
    <w:basedOn w:val="1"/>
    <w:autoRedefine/>
    <w:qFormat/>
    <w:uiPriority w:val="1"/>
  </w:style>
  <w:style w:type="paragraph" w:customStyle="1" w:styleId="89">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90">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paragraph" w:styleId="91">
    <w:name w:val="List Paragraph"/>
    <w:basedOn w:val="1"/>
    <w:autoRedefine/>
    <w:unhideWhenUsed/>
    <w:qFormat/>
    <w:uiPriority w:val="99"/>
    <w:pPr>
      <w:ind w:firstLine="420" w:firstLineChars="200"/>
    </w:pPr>
  </w:style>
  <w:style w:type="paragraph" w:customStyle="1" w:styleId="92">
    <w:name w:val="正文 New New New New"/>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63</Pages>
  <Words>6108</Words>
  <Characters>6927</Characters>
  <Lines>196</Lines>
  <Paragraphs>55</Paragraphs>
  <TotalTime>1</TotalTime>
  <ScaleCrop>false</ScaleCrop>
  <LinksUpToDate>false</LinksUpToDate>
  <CharactersWithSpaces>7071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2025-05-14T01:22:00Z</dcterms:created>
  <dc:creator>pc</dc:creator>
  <cp:lastModifiedBy>LENOVO</cp:lastModifiedBy>
  <cp:lastPrinted>2025-05-16T03:03:00Z</cp:lastPrinted>
  <dcterms:modified xsi:type="dcterms:W3CDTF">2026-05-18T09:11:55Z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C84EF29FF80F4E8288A798ABA17A8473_13</vt:lpwstr>
  </property>
  <property fmtid="{D5CDD505-2E9C-101B-9397-08002B2CF9AE}" pid="4" name="KSOTemplateDocerSaveRecord">
    <vt:lpwstr>eyJoZGlkIjoiMGRlODI5NTQyMTUwZjhjNTk5ZDNhMjU0N2NhOWRkZTMiLCJ1c2VySWQiOiI0MTUzMTg5MjIifQ==</vt:lpwstr>
  </property>
</Properties>
</file>